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стажировки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/>
      <w:bookmarkStart w:id="0" w:name="_Hlk209973142"/>
      <w:r>
        <w:rPr>
          <w:rFonts w:ascii="Times New Roman" w:hAnsi="Times New Roman" w:cs="Times New Roman"/>
          <w:b/>
          <w:bCs/>
          <w:sz w:val="28"/>
          <w:szCs w:val="28"/>
        </w:rPr>
        <w:t xml:space="preserve">по теме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Start w:id="1" w:name="_Hlk209720290"/>
      <w:r>
        <w:rPr>
          <w:rFonts w:ascii="Times New Roman" w:hAnsi="Times New Roman" w:cs="Times New Roman"/>
          <w:b/>
          <w:bCs/>
          <w:sz w:val="28"/>
          <w:szCs w:val="28"/>
        </w:rPr>
        <w:t xml:space="preserve">«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Управлен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ческий конструктор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модели преемственности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между уровнями образования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от теории к практике»</w:t>
      </w:r>
      <w:bookmarkEnd w:id="1"/>
      <w:r/>
      <w:bookmarkEnd w:id="0"/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661"/>
        <w:numPr>
          <w:ilvl w:val="3"/>
          <w:numId w:val="3"/>
        </w:numPr>
        <w:ind w:left="0" w:firstLine="0"/>
        <w:jc w:val="both"/>
        <w:tabs>
          <w:tab w:val="left" w:pos="142" w:leader="none"/>
          <w:tab w:val="left" w:pos="284" w:leader="none"/>
          <w:tab w:val="left" w:pos="426" w:leader="none"/>
        </w:tabs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Цель стажировки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–</w:t>
      </w:r>
      <w: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трансляция 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практики реализации </w:t>
      </w:r>
      <w:r>
        <w:rPr>
          <w:rFonts w:ascii="Times New Roman" w:hAnsi="Times New Roman" w:cs="Times New Roman"/>
          <w:bCs/>
          <w:sz w:val="28"/>
          <w:szCs w:val="28"/>
        </w:rPr>
        <w:t xml:space="preserve">модели управления преемственностью между у</w:t>
      </w:r>
      <w:r>
        <w:rPr>
          <w:rFonts w:ascii="Times New Roman" w:hAnsi="Times New Roman" w:cs="Times New Roman"/>
          <w:bCs/>
          <w:sz w:val="28"/>
          <w:szCs w:val="28"/>
        </w:rPr>
        <w:t xml:space="preserve">ровнями образования (дошкольное –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начальное – основное – </w:t>
      </w:r>
      <w:r>
        <w:rPr>
          <w:rFonts w:ascii="Times New Roman" w:hAnsi="Times New Roman" w:cs="Times New Roman"/>
          <w:bCs/>
          <w:sz w:val="28"/>
          <w:szCs w:val="28"/>
        </w:rPr>
        <w:t xml:space="preserve">среднее). </w:t>
      </w:r>
      <w:r>
        <w:rPr>
          <w:rFonts w:ascii="Times New Roman" w:hAnsi="Times New Roman" w:cs="Times New Roman"/>
          <w:bCs/>
          <w:sz w:val="28"/>
          <w:szCs w:val="28"/>
        </w:rPr>
      </w:r>
    </w:p>
    <w:p>
      <w:pPr>
        <w:pStyle w:val="661"/>
        <w:numPr>
          <w:ilvl w:val="3"/>
          <w:numId w:val="3"/>
        </w:numPr>
        <w:ind w:left="0" w:firstLine="0"/>
        <w:tabs>
          <w:tab w:val="left" w:pos="142" w:leader="none"/>
          <w:tab w:val="left" w:pos="284" w:leader="none"/>
          <w:tab w:val="left" w:pos="426" w:leader="none"/>
        </w:tabs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Задачи стажировки</w:t>
      </w:r>
      <w:r>
        <w:rPr>
          <w:rFonts w:ascii="Times New Roman" w:hAnsi="Times New Roman" w:cs="Times New Roman"/>
          <w:bCs/>
          <w:sz w:val="28"/>
          <w:szCs w:val="28"/>
        </w:rPr>
        <w:t xml:space="preserve">:</w:t>
      </w:r>
      <w:r>
        <w:rPr>
          <w:rFonts w:ascii="Times New Roman" w:hAnsi="Times New Roman" w:cs="Times New Roman"/>
          <w:bCs/>
          <w:sz w:val="28"/>
          <w:szCs w:val="28"/>
        </w:rPr>
      </w:r>
    </w:p>
    <w:p>
      <w:pPr>
        <w:pStyle w:val="661"/>
        <w:numPr>
          <w:ilvl w:val="0"/>
          <w:numId w:val="9"/>
        </w:numPr>
        <w:jc w:val="both"/>
        <w:tabs>
          <w:tab w:val="left" w:pos="142" w:leader="none"/>
          <w:tab w:val="left" w:pos="284" w:leader="none"/>
          <w:tab w:val="left" w:pos="426" w:leader="none"/>
          <w:tab w:val="left" w:pos="709" w:leader="none"/>
          <w:tab w:val="left" w:pos="993" w:leader="none"/>
        </w:tabs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Р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ефлексивный анализ управленческих задач и инструментов руководителя образовательной организации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по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реализации</w:t>
      </w:r>
      <w:bookmarkStart w:id="2" w:name="_Hlk209373319"/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bookmarkEnd w:id="2"/>
      <w:r>
        <w:rPr>
          <w:rFonts w:ascii="Times New Roman" w:hAnsi="Times New Roman" w:cs="Times New Roman"/>
          <w:sz w:val="28"/>
          <w:szCs w:val="28"/>
        </w:rPr>
        <w:t xml:space="preserve">у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правленческ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ого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конструктор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модели преемственности: от теории к практике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61"/>
        <w:numPr>
          <w:ilvl w:val="0"/>
          <w:numId w:val="9"/>
        </w:numPr>
        <w:jc w:val="both"/>
        <w:tabs>
          <w:tab w:val="left" w:pos="142" w:leader="none"/>
          <w:tab w:val="left" w:pos="284" w:leader="none"/>
          <w:tab w:val="left" w:pos="426" w:leader="none"/>
          <w:tab w:val="left" w:pos="709" w:leader="none"/>
          <w:tab w:val="left" w:pos="993" w:leader="none"/>
        </w:tabs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Применение управленческих инструментов в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индивидуальных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пробах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стажеров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61"/>
        <w:numPr>
          <w:ilvl w:val="3"/>
          <w:numId w:val="3"/>
        </w:numPr>
        <w:ind w:left="0" w:firstLine="0"/>
        <w:jc w:val="both"/>
        <w:spacing w:after="200" w:line="276" w:lineRule="auto"/>
        <w:tabs>
          <w:tab w:val="left" w:pos="142" w:leader="none"/>
          <w:tab w:val="left" w:pos="284" w:leader="none"/>
          <w:tab w:val="left" w:pos="426" w:leader="none"/>
        </w:tabs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Контингент стажеров, требования к стажерам: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стажировка проводится для руководителей образовательных организаций (директора, заместители по воспитательной работе, качеству образова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я, содержанию образования).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61"/>
        <w:numPr>
          <w:ilvl w:val="3"/>
          <w:numId w:val="3"/>
        </w:numPr>
        <w:ind w:left="0" w:firstLine="0"/>
        <w:jc w:val="both"/>
        <w:spacing w:after="200" w:line="276" w:lineRule="auto"/>
        <w:tabs>
          <w:tab w:val="left" w:pos="142" w:leader="none"/>
          <w:tab w:val="left" w:pos="284" w:leader="none"/>
          <w:tab w:val="left" w:pos="426" w:leader="none"/>
        </w:tabs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Место проведения стажировки: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Стажировка проводится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на базе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ГБОУ Школа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№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1515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61"/>
        <w:numPr>
          <w:ilvl w:val="3"/>
          <w:numId w:val="3"/>
        </w:numPr>
        <w:ind w:left="0" w:firstLine="0"/>
        <w:jc w:val="both"/>
        <w:spacing w:after="200" w:line="276" w:lineRule="auto"/>
        <w:tabs>
          <w:tab w:val="left" w:pos="142" w:leader="none"/>
          <w:tab w:val="left" w:pos="284" w:leader="none"/>
          <w:tab w:val="left" w:pos="426" w:leader="none"/>
        </w:tabs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Время проведения стажировки: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один день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61"/>
        <w:numPr>
          <w:ilvl w:val="3"/>
          <w:numId w:val="3"/>
        </w:numPr>
        <w:ind w:left="0" w:firstLine="0"/>
        <w:spacing w:after="200" w:line="276" w:lineRule="auto"/>
        <w:tabs>
          <w:tab w:val="left" w:pos="142" w:leader="none"/>
          <w:tab w:val="left" w:pos="284" w:leader="none"/>
          <w:tab w:val="left" w:pos="426" w:leader="none"/>
        </w:tabs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Количество стажеров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2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человек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61"/>
        <w:numPr>
          <w:ilvl w:val="3"/>
          <w:numId w:val="3"/>
        </w:numPr>
        <w:ind w:left="0" w:firstLine="0"/>
        <w:spacing w:after="200" w:line="276" w:lineRule="auto"/>
        <w:tabs>
          <w:tab w:val="left" w:pos="142" w:leader="none"/>
          <w:tab w:val="left" w:pos="284" w:leader="none"/>
          <w:tab w:val="left" w:pos="426" w:leader="none"/>
        </w:tabs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Руководители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практикума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Коротина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Марина Сергеевна, директор ГБОУ Школа № 1515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;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Кощиенко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Ирина Васильевна, старший методист ГБОУ Школа № 1515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spacing w:after="200" w:line="276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jc w:val="center"/>
        <w:spacing w:after="200" w:line="276" w:lineRule="auto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8. Сценарий стажировки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r>
    </w:p>
    <w:p>
      <w:pPr>
        <w:jc w:val="both"/>
        <w:spacing w:after="200" w:line="276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Установочное совещание с участием кураторов (сотрудни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ков Корпоративного университета,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И.В.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Кощиенко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старший методист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ГБОУ Школа № 1515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)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jc w:val="both"/>
        <w:spacing w:after="200" w:line="276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На установочном совещании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стажёры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получают информацию о стажировке, расписании мероприятий, входящих в стажировку, инструкцию по заполнению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отчётных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документов, а также информацию о распределении по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ста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жировочным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площадкам.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73"/>
        <w:jc w:val="both"/>
        <w:rPr>
          <w:rFonts w:ascii="Times New Roman" w:hAnsi="Times New Roman" w:eastAsia="Calibri" w:cs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Теоретическая часть Видео-презентация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по теме: </w:t>
      </w:r>
      <w:bookmarkStart w:id="3" w:name="_Hlk209973226"/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«Управленческий конструктор модели преемственности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между уровнями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образования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от теории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 практике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»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>
        <w:rPr>
          <w:rFonts w:ascii="Times New Roman" w:hAnsi="Times New Roman" w:eastAsia="Calibri" w:cs="Times New Roman"/>
          <w:b/>
          <w:i/>
          <w:sz w:val="28"/>
          <w:szCs w:val="28"/>
          <w:lang w:eastAsia="ru-RU"/>
        </w:rPr>
        <w:t xml:space="preserve">(М.С. Коротина </w:t>
      </w:r>
      <w:r>
        <w:rPr>
          <w:rFonts w:ascii="Times New Roman" w:hAnsi="Times New Roman" w:eastAsia="Calibri" w:cs="Times New Roman"/>
          <w:b/>
          <w:i/>
          <w:sz w:val="28"/>
          <w:szCs w:val="28"/>
          <w:lang w:eastAsia="ru-RU"/>
        </w:rPr>
        <w:t xml:space="preserve">–</w:t>
      </w:r>
      <w:r>
        <w:rPr>
          <w:rFonts w:ascii="Times New Roman" w:hAnsi="Times New Roman" w:eastAsia="Calibri" w:cs="Times New Roman"/>
          <w:b/>
          <w:i/>
          <w:sz w:val="28"/>
          <w:szCs w:val="28"/>
          <w:lang w:eastAsia="ru-RU"/>
        </w:rPr>
        <w:t xml:space="preserve">  директор ГБОУ Школа </w:t>
      </w:r>
      <w:r>
        <w:rPr>
          <w:rFonts w:ascii="Times New Roman" w:hAnsi="Times New Roman" w:eastAsia="Calibri" w:cs="Times New Roman"/>
          <w:b/>
          <w:i/>
          <w:sz w:val="28"/>
          <w:szCs w:val="28"/>
          <w:lang w:eastAsia="ru-RU"/>
        </w:rPr>
        <w:t xml:space="preserve">№ </w:t>
      </w:r>
      <w:r>
        <w:rPr>
          <w:rFonts w:ascii="Times New Roman" w:hAnsi="Times New Roman" w:eastAsia="Calibri" w:cs="Times New Roman"/>
          <w:b/>
          <w:i/>
          <w:sz w:val="28"/>
          <w:szCs w:val="28"/>
          <w:lang w:eastAsia="ru-RU"/>
        </w:rPr>
        <w:t xml:space="preserve">1515)</w:t>
      </w:r>
      <w:bookmarkEnd w:id="3"/>
      <w:r>
        <w:rPr>
          <w:rFonts w:ascii="Times New Roman" w:hAnsi="Times New Roman" w:eastAsia="Calibri" w:cs="Times New Roman"/>
          <w:b/>
          <w:i/>
          <w:sz w:val="28"/>
          <w:szCs w:val="28"/>
          <w:lang w:eastAsia="ru-RU"/>
        </w:rPr>
      </w:r>
    </w:p>
    <w:p>
      <w:pPr>
        <w:ind w:firstLine="708"/>
        <w:jc w:val="both"/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В теоретической части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«Управленческий конструктор модели преемственности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между уровнями образования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: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от теории к практике»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наставник (директор школы)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представл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яет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мод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ель,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котор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ая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состоит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из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3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ключевых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этапов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: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проблемно-поисковый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(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постановка задач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,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шаги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деятельности, распределение зон ответственности среди заместителей); содержательно-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деятельностный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(система внутреннего повышения квалификации,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сквозные содержательные линии</w:t>
      </w:r>
      <w:bookmarkStart w:id="4" w:name="_Hlk209974242"/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-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проекты, события); </w:t>
      </w:r>
      <w:bookmarkStart w:id="5" w:name="_Hlk209974721"/>
      <w:r/>
      <w:bookmarkEnd w:id="4"/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аналитико-результативный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(система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оценки результатов; анализ причин и недостатков, которые возникли при реализации модели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).</w:t>
      </w:r>
      <w:bookmarkEnd w:id="5"/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</w:r>
    </w:p>
    <w:p>
      <w:pPr>
        <w:jc w:val="both"/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Экскурсия-погружение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«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Один день из жизни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школы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»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(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работа по подгруппам)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: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</w:r>
    </w:p>
    <w:p>
      <w:pPr>
        <w:jc w:val="both"/>
        <w:spacing w:after="200" w:line="276" w:lineRule="auto"/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</w:pPr>
      <w:r/>
      <w:bookmarkStart w:id="6" w:name="_Hlk209376131"/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Пр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езентация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использовани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я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приёмов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технологии 4К для развития у дошкольников и школьников навыков и компетенций XXI века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                        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(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С.В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Золотарева, воспитатель;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С.А.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Ефимова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,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  <w:t xml:space="preserve"> учитель начальных классов).</w:t>
      </w: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  <w:lang w:eastAsia="ru-RU"/>
        </w:rPr>
      </w:r>
    </w:p>
    <w:p>
      <w:pPr>
        <w:ind w:firstLine="708"/>
        <w:jc w:val="both"/>
        <w:spacing w:after="200" w:line="276" w:lineRule="auto"/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Н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аставники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(воспитатель/учитель начальных классов) представляют возможности сингапурской технологии 4К, как технологии личностно-ориентированного обучения: сущность, особенности, педагогические эффекты; предлагают выполнить задания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с использованием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прием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ов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технологии. Наставники обращают внимание стажеров на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элементы конструктора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выстраивания эффективной системы развития 4К,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включающий три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 стратегических решения: средовое и методическое; оценочное; организационное.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Ответы на вопросы стажеров.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/>
      <w:bookmarkStart w:id="7" w:name="_Hlk209973549"/>
      <w:r>
        <w:rPr>
          <w:rFonts w:ascii="Times New Roman" w:hAnsi="Times New Roman" w:cs="Times New Roman"/>
          <w:b/>
          <w:i/>
          <w:sz w:val="28"/>
          <w:szCs w:val="28"/>
        </w:rPr>
        <w:t xml:space="preserve">Пр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езентация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«От создания дошкольной группы с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билингвальн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ы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м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компонентом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к классу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с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билингвальным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компонентом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И.А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Золотарева, воспитатель;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К.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А.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Пилевич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воспитатель;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Е.В.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Шелякина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учитель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английского языка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;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Е.И.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Беляева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учитель английского языка).</w:t>
      </w:r>
      <w:r>
        <w:rPr>
          <w:rFonts w:ascii="Times New Roman" w:hAnsi="Times New Roman" w:cs="Times New Roman"/>
          <w:b/>
          <w:sz w:val="28"/>
          <w:szCs w:val="28"/>
        </w:rPr>
      </w:r>
    </w:p>
    <w:p>
      <w:pPr>
        <w:ind w:firstLine="708"/>
        <w:jc w:val="both"/>
        <w:spacing w:after="200" w:line="276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Н</w:t>
      </w:r>
      <w:r>
        <w:rPr>
          <w:rFonts w:ascii="Times New Roman" w:hAnsi="Times New Roman" w:cs="Times New Roman"/>
          <w:i/>
          <w:sz w:val="28"/>
          <w:szCs w:val="28"/>
        </w:rPr>
        <w:t xml:space="preserve">аставники (воспитател</w:t>
      </w:r>
      <w:r>
        <w:rPr>
          <w:rFonts w:ascii="Times New Roman" w:hAnsi="Times New Roman" w:cs="Times New Roman"/>
          <w:i/>
          <w:sz w:val="28"/>
          <w:szCs w:val="28"/>
        </w:rPr>
        <w:t xml:space="preserve">и</w:t>
      </w:r>
      <w:r>
        <w:rPr>
          <w:rFonts w:ascii="Times New Roman" w:hAnsi="Times New Roman" w:cs="Times New Roman"/>
          <w:i/>
          <w:sz w:val="28"/>
          <w:szCs w:val="28"/>
        </w:rPr>
        <w:t xml:space="preserve">,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учител</w:t>
      </w:r>
      <w:r>
        <w:rPr>
          <w:rFonts w:ascii="Times New Roman" w:hAnsi="Times New Roman" w:cs="Times New Roman"/>
          <w:i/>
          <w:sz w:val="28"/>
          <w:szCs w:val="28"/>
        </w:rPr>
        <w:t xml:space="preserve">я</w:t>
      </w:r>
      <w:r>
        <w:rPr>
          <w:rFonts w:ascii="Times New Roman" w:hAnsi="Times New Roman" w:cs="Times New Roman"/>
          <w:i/>
          <w:sz w:val="28"/>
          <w:szCs w:val="28"/>
        </w:rPr>
        <w:t xml:space="preserve"> английского языка) </w:t>
      </w:r>
      <w:r>
        <w:rPr>
          <w:rFonts w:ascii="Times New Roman" w:hAnsi="Times New Roman" w:cs="Times New Roman"/>
          <w:i/>
          <w:sz w:val="28"/>
          <w:szCs w:val="28"/>
        </w:rPr>
        <w:t xml:space="preserve">представляют элементы конструктора создания</w:t>
      </w:r>
      <w:r>
        <w:rPr>
          <w:rFonts w:ascii="Times New Roman" w:hAnsi="Times New Roman" w:cs="Times New Roman"/>
          <w:i/>
          <w:sz w:val="28"/>
          <w:szCs w:val="28"/>
        </w:rPr>
        <w:t xml:space="preserve"> эффективной </w:t>
      </w:r>
      <w:r>
        <w:rPr>
          <w:rFonts w:ascii="Times New Roman" w:hAnsi="Times New Roman" w:cs="Times New Roman"/>
          <w:i/>
          <w:sz w:val="28"/>
          <w:szCs w:val="28"/>
        </w:rPr>
        <w:t xml:space="preserve">билингвальной</w:t>
      </w:r>
      <w:r>
        <w:rPr>
          <w:rFonts w:ascii="Times New Roman" w:hAnsi="Times New Roman" w:cs="Times New Roman"/>
          <w:i/>
          <w:sz w:val="28"/>
          <w:szCs w:val="28"/>
        </w:rPr>
        <w:t xml:space="preserve"> вертикали</w:t>
      </w:r>
      <w:r>
        <w:rPr>
          <w:rFonts w:ascii="Times New Roman" w:hAnsi="Times New Roman" w:cs="Times New Roman"/>
          <w:i/>
          <w:sz w:val="28"/>
          <w:szCs w:val="28"/>
        </w:rPr>
        <w:t xml:space="preserve">,</w:t>
      </w:r>
      <w:r>
        <w:rPr>
          <w:rFonts w:ascii="Times New Roman" w:hAnsi="Times New Roman" w:cs="Times New Roman"/>
          <w:i/>
          <w:sz w:val="28"/>
          <w:szCs w:val="28"/>
        </w:rPr>
        <w:t xml:space="preserve"> включающ</w:t>
      </w:r>
      <w:r>
        <w:rPr>
          <w:rFonts w:ascii="Times New Roman" w:hAnsi="Times New Roman" w:cs="Times New Roman"/>
          <w:i/>
          <w:sz w:val="28"/>
          <w:szCs w:val="28"/>
        </w:rPr>
        <w:t xml:space="preserve">е</w:t>
      </w:r>
      <w:r>
        <w:rPr>
          <w:rFonts w:ascii="Times New Roman" w:hAnsi="Times New Roman" w:cs="Times New Roman"/>
          <w:i/>
          <w:sz w:val="28"/>
          <w:szCs w:val="28"/>
        </w:rPr>
        <w:t xml:space="preserve">й четыре ключевых управленческих решения:</w:t>
      </w:r>
      <w:r>
        <w:rPr>
          <w:rFonts w:ascii="Times New Roman" w:hAnsi="Times New Roman" w:cs="Times New Roman"/>
          <w:i/>
          <w:sz w:val="28"/>
          <w:szCs w:val="28"/>
        </w:rPr>
        <w:t xml:space="preserve"> кадровая политика; методическое единство; средовой подход; событийная интеграция.</w:t>
      </w:r>
      <w: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Ответы на вопросы стажеров.</w:t>
      </w:r>
      <w:r>
        <w:rPr>
          <w:rFonts w:ascii="Times New Roman" w:hAnsi="Times New Roman" w:cs="Times New Roman"/>
          <w:i/>
          <w:sz w:val="28"/>
          <w:szCs w:val="28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Пр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езентация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конструктора «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Чудо-город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»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к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техническому образованию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»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А.А.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Нурова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О.В.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Тимошенко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., С.В. Родионова, учителя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начальных классов)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</w:r>
    </w:p>
    <w:p>
      <w:pPr>
        <w:ind w:firstLine="708"/>
        <w:jc w:val="both"/>
        <w:spacing w:after="200" w:line="276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Н</w:t>
      </w:r>
      <w:r>
        <w:rPr>
          <w:rFonts w:ascii="Times New Roman" w:hAnsi="Times New Roman" w:cs="Times New Roman"/>
          <w:i/>
          <w:sz w:val="28"/>
          <w:szCs w:val="28"/>
        </w:rPr>
        <w:t xml:space="preserve">аставники (воспитатели</w:t>
      </w:r>
      <w:r>
        <w:rPr>
          <w:rFonts w:ascii="Times New Roman" w:hAnsi="Times New Roman" w:cs="Times New Roman"/>
          <w:i/>
          <w:sz w:val="28"/>
          <w:szCs w:val="28"/>
        </w:rPr>
        <w:t xml:space="preserve">; учителя</w:t>
      </w:r>
      <w:r>
        <w:rPr>
          <w:rFonts w:ascii="Times New Roman" w:hAnsi="Times New Roman" w:cs="Times New Roman"/>
          <w:i/>
          <w:sz w:val="28"/>
          <w:szCs w:val="28"/>
        </w:rPr>
        <w:t xml:space="preserve">) предлагают стажерам познакомиться с </w:t>
      </w:r>
      <w:r>
        <w:rPr>
          <w:rFonts w:ascii="Times New Roman" w:hAnsi="Times New Roman" w:cs="Times New Roman"/>
          <w:i/>
          <w:sz w:val="28"/>
          <w:szCs w:val="28"/>
        </w:rPr>
        <w:t xml:space="preserve">элементами конструктора</w:t>
      </w:r>
      <w:r>
        <w:rPr>
          <w:rFonts w:ascii="Times New Roman" w:hAnsi="Times New Roman" w:cs="Times New Roman"/>
          <w:i/>
          <w:sz w:val="28"/>
          <w:szCs w:val="28"/>
        </w:rPr>
        <w:t xml:space="preserve"> непрерывной цепи</w:t>
      </w:r>
      <w:r>
        <w:rPr>
          <w:rFonts w:ascii="Times New Roman" w:hAnsi="Times New Roman" w:cs="Times New Roman"/>
          <w:i/>
          <w:sz w:val="28"/>
          <w:szCs w:val="28"/>
        </w:rPr>
        <w:t xml:space="preserve"> технического образования от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дошкольных групп </w:t>
      </w:r>
      <w:r>
        <w:rPr>
          <w:rFonts w:ascii="Times New Roman" w:hAnsi="Times New Roman" w:cs="Times New Roman"/>
          <w:i/>
          <w:sz w:val="28"/>
          <w:szCs w:val="28"/>
        </w:rPr>
        <w:t xml:space="preserve">детского сада к школе. Знакомят с </w:t>
      </w:r>
      <w:r>
        <w:rPr>
          <w:rFonts w:ascii="Times New Roman" w:hAnsi="Times New Roman" w:cs="Times New Roman"/>
          <w:i/>
          <w:sz w:val="28"/>
          <w:szCs w:val="28"/>
        </w:rPr>
        <w:t xml:space="preserve">методическим </w:t>
      </w:r>
      <w:r>
        <w:rPr>
          <w:rFonts w:ascii="Times New Roman" w:hAnsi="Times New Roman" w:cs="Times New Roman"/>
          <w:i/>
          <w:sz w:val="28"/>
          <w:szCs w:val="28"/>
        </w:rPr>
        <w:t xml:space="preserve">комплектом «</w:t>
      </w:r>
      <w:r>
        <w:rPr>
          <w:rFonts w:ascii="Times New Roman" w:hAnsi="Times New Roman" w:cs="Times New Roman"/>
          <w:i/>
          <w:sz w:val="28"/>
          <w:szCs w:val="28"/>
        </w:rPr>
        <w:t xml:space="preserve">Строим и играем», приемами, формами, методами работы в среде</w:t>
      </w:r>
      <w:r>
        <w:rPr>
          <w:rFonts w:ascii="Times New Roman" w:hAnsi="Times New Roman" w:cs="Times New Roman"/>
          <w:i/>
          <w:sz w:val="28"/>
          <w:szCs w:val="28"/>
        </w:rPr>
        <w:t xml:space="preserve"> дошкольной группы.</w:t>
      </w:r>
      <w:r>
        <w:rPr>
          <w:rFonts w:ascii="Times New Roman" w:hAnsi="Times New Roman" w:cs="Times New Roman"/>
          <w:i/>
          <w:sz w:val="28"/>
          <w:szCs w:val="28"/>
        </w:rPr>
        <w:t xml:space="preserve"> Наставники комментируют возможности педагогических инструментов, используемых на уровне дошкольной группы и возможности использования их</w:t>
      </w:r>
      <w:r>
        <w:rPr>
          <w:rFonts w:ascii="Times New Roman" w:hAnsi="Times New Roman" w:cs="Times New Roman"/>
          <w:i/>
          <w:sz w:val="28"/>
          <w:szCs w:val="28"/>
        </w:rPr>
        <w:t xml:space="preserve"> в дальнейшем</w:t>
      </w:r>
      <w:r>
        <w:rPr>
          <w:rFonts w:ascii="Times New Roman" w:hAnsi="Times New Roman" w:cs="Times New Roman"/>
          <w:i/>
          <w:sz w:val="28"/>
          <w:szCs w:val="28"/>
        </w:rPr>
        <w:t xml:space="preserve"> на уровне начальной</w:t>
      </w:r>
      <w:r>
        <w:rPr>
          <w:rFonts w:ascii="Times New Roman" w:hAnsi="Times New Roman" w:cs="Times New Roman"/>
          <w:i/>
          <w:sz w:val="28"/>
          <w:szCs w:val="28"/>
        </w:rPr>
        <w:t xml:space="preserve">, а затем и средней</w:t>
      </w:r>
      <w:r>
        <w:rPr>
          <w:rFonts w:ascii="Times New Roman" w:hAnsi="Times New Roman" w:cs="Times New Roman"/>
          <w:i/>
          <w:sz w:val="28"/>
          <w:szCs w:val="28"/>
        </w:rPr>
        <w:t xml:space="preserve"> школы. </w:t>
      </w:r>
      <w:r>
        <w:rPr>
          <w:rFonts w:ascii="Times New Roman" w:hAnsi="Times New Roman" w:cs="Times New Roman"/>
          <w:i/>
          <w:sz w:val="28"/>
          <w:szCs w:val="28"/>
        </w:rPr>
        <w:t xml:space="preserve">Обращают внимание стажеров на три </w:t>
      </w:r>
      <w:bookmarkStart w:id="8" w:name="_Hlk210416607"/>
      <w:r>
        <w:rPr>
          <w:rFonts w:ascii="Times New Roman" w:hAnsi="Times New Roman" w:cs="Times New Roman"/>
          <w:i/>
          <w:sz w:val="28"/>
          <w:szCs w:val="28"/>
        </w:rPr>
        <w:t xml:space="preserve">основных управленческих решения</w:t>
      </w:r>
      <w:bookmarkEnd w:id="8"/>
      <w:r>
        <w:rPr>
          <w:rFonts w:ascii="Times New Roman" w:hAnsi="Times New Roman" w:cs="Times New Roman"/>
          <w:i/>
          <w:sz w:val="28"/>
          <w:szCs w:val="28"/>
        </w:rPr>
        <w:t xml:space="preserve">: ресурсное; методическое; кадровое. </w:t>
      </w:r>
      <w:r>
        <w:rPr>
          <w:rFonts w:ascii="Times New Roman" w:hAnsi="Times New Roman" w:cs="Times New Roman"/>
          <w:i/>
          <w:sz w:val="28"/>
          <w:szCs w:val="28"/>
        </w:rPr>
        <w:t xml:space="preserve">После индивидуальной работы проводится общее обсуждение. Ответы на вопросы стажеров.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Кофе-пауза (Музыкальный зал)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Переход в здание старшей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адресу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ул. Народного Опо</w:t>
      </w:r>
      <w:r>
        <w:rPr>
          <w:rFonts w:ascii="Times New Roman" w:hAnsi="Times New Roman" w:cs="Times New Roman"/>
          <w:sz w:val="28"/>
          <w:szCs w:val="28"/>
        </w:rPr>
        <w:t xml:space="preserve">л</w:t>
      </w:r>
      <w:r>
        <w:rPr>
          <w:rFonts w:ascii="Times New Roman" w:hAnsi="Times New Roman" w:cs="Times New Roman"/>
          <w:sz w:val="28"/>
          <w:szCs w:val="28"/>
        </w:rPr>
        <w:t xml:space="preserve">чения, 27/</w:t>
      </w:r>
      <w:r>
        <w:rPr>
          <w:rFonts w:ascii="Times New Roman" w:hAnsi="Times New Roman" w:cs="Times New Roman"/>
          <w:sz w:val="28"/>
          <w:szCs w:val="28"/>
        </w:rPr>
        <w:t xml:space="preserve">2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Практикум «Профессиональные перекрестки»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(М.С.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Коротина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директор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; А.А.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Каграманян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заместитель </w:t>
      </w:r>
      <w:bookmarkStart w:id="9" w:name="_GoBack"/>
      <w:r/>
      <w:bookmarkEnd w:id="9"/>
      <w:r>
        <w:rPr>
          <w:rFonts w:ascii="Times New Roman" w:hAnsi="Times New Roman" w:cs="Times New Roman"/>
          <w:b/>
          <w:bCs/>
          <w:sz w:val="28"/>
          <w:szCs w:val="28"/>
        </w:rPr>
        <w:t xml:space="preserve">директора;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О.А. Волкова, заместитель директора; Н.В.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Шинкарчук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заместитель директора; К.А. Изотова, заместитель директора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)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contextualSpacing/>
        <w:ind w:firstLine="708"/>
        <w:jc w:val="both"/>
        <w:spacing w:after="20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Во время практикума стажеры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(«перекрестки»)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выполняют роль </w:t>
      </w:r>
      <w:r>
        <w:rPr>
          <w:rFonts w:ascii="Times New Roman" w:hAnsi="Times New Roman" w:cs="Times New Roman"/>
          <w:i/>
          <w:sz w:val="28"/>
          <w:szCs w:val="28"/>
        </w:rPr>
        <w:t xml:space="preserve">«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исследователей-аналитиков</w:t>
      </w:r>
      <w:r>
        <w:rPr>
          <w:rFonts w:ascii="Times New Roman" w:hAnsi="Times New Roman" w:cs="Times New Roman"/>
          <w:i/>
          <w:sz w:val="28"/>
          <w:szCs w:val="28"/>
        </w:rPr>
        <w:t xml:space="preserve">»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Их практическая задача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–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составить карту профессиональных решений по четырем ключевым направлениям управления школой. 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Наставники («потоки»)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«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пересекают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»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их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в режиме десятиминутного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тайминга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Стажёры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решают следующие задачи: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661"/>
        <w:numPr>
          <w:ilvl w:val="0"/>
          <w:numId w:val="8"/>
        </w:numPr>
        <w:ind w:left="0" w:firstLine="709"/>
        <w:jc w:val="both"/>
        <w:spacing w:after="200" w:line="240" w:lineRule="auto"/>
        <w:tabs>
          <w:tab w:val="left" w:pos="851" w:leader="none"/>
          <w:tab w:val="left" w:pos="993" w:leader="none"/>
        </w:tabs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Активное слушание с целевым запросом. Стажеры целенаправленно вычленяют из рассказа наставника тезисы, примеры, цифры, которые отвечают на их воп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рос в рабочем листе (например, «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Какие 3 локальных акта наиболее важны для начала реализации модели преемственн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ости?» или «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Какой формат работы с педагогами показал наибольшую эффективность в решении задач педагогического партнерства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?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»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).</w:t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661"/>
        <w:numPr>
          <w:ilvl w:val="0"/>
          <w:numId w:val="8"/>
        </w:numPr>
        <w:ind w:left="0" w:firstLine="709"/>
        <w:jc w:val="both"/>
        <w:spacing w:after="200" w:line="240" w:lineRule="auto"/>
        <w:tabs>
          <w:tab w:val="left" w:pos="851" w:leader="none"/>
          <w:tab w:val="left" w:pos="993" w:leader="none"/>
        </w:tabs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Фиксация и структурирова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ние. Стажеры сразу же заполняют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соответствующий раздел своего рабочего листа, переводя услышанный опыт в структурированные заметки, схемы, чек-листы.</w:t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661"/>
        <w:numPr>
          <w:ilvl w:val="0"/>
          <w:numId w:val="8"/>
        </w:numPr>
        <w:ind w:left="0" w:firstLine="709"/>
        <w:jc w:val="both"/>
        <w:spacing w:after="200" w:line="240" w:lineRule="auto"/>
        <w:tabs>
          <w:tab w:val="left" w:pos="851" w:leader="none"/>
          <w:tab w:val="left" w:pos="993" w:leader="none"/>
        </w:tabs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Вопросы-уточнения. Диалог стажера с наставником —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это уточняющие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вопросы для про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работки своей «карты решений»: «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А как вы распределяли ответственность на этапе внедрения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системы преемственности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?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», «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Что делать, если учитель сопротивляется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новациям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?»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</w:t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contextualSpacing/>
        <w:ind w:firstLine="709"/>
        <w:jc w:val="both"/>
        <w:spacing w:after="20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Смена наставника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Стажеры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встречают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следующе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го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наставник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переключая фокус на новую тему, но продолжая выполнять ту же практическую задачу — сбор и фиксацию решений.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По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итогам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практикума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у каждого стажера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на руках собранный и структурированный практический кейс-инструктаж, включающий: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э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лементы конструктора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(основных управленческих решени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й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от директора и его заместителей)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;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с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писок необходимых документов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; э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ффективные форматы работы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; 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нструменты мониторинга и анализа.</w:t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Практикум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Проектная мастерская: От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представленн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ого опыта к своей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модели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»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both"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(М.С.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Коротина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директор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; А.А.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Каграманян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замест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итель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директора;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О.А. Волкова,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замести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тель директора; Н.В.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Шинкарчук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замест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итель директора; К.А. Изотова,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заместитель директора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)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contextualSpacing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Работа в командах: </w:t>
      </w:r>
      <w:r>
        <w:rPr>
          <w:rFonts w:ascii="Times New Roman" w:hAnsi="Times New Roman" w:cs="Times New Roman"/>
          <w:i/>
          <w:sz w:val="28"/>
          <w:szCs w:val="28"/>
        </w:rPr>
        <w:t xml:space="preserve">у</w:t>
      </w:r>
      <w:r>
        <w:rPr>
          <w:rFonts w:ascii="Times New Roman" w:hAnsi="Times New Roman" w:cs="Times New Roman"/>
          <w:i/>
          <w:sz w:val="28"/>
          <w:szCs w:val="28"/>
        </w:rPr>
        <w:t xml:space="preserve">частники объединяются и начинают проектировать собственную </w:t>
      </w:r>
      <w:r>
        <w:rPr>
          <w:rFonts w:ascii="Times New Roman" w:hAnsi="Times New Roman" w:cs="Times New Roman"/>
          <w:i/>
          <w:sz w:val="28"/>
          <w:szCs w:val="28"/>
        </w:rPr>
        <w:t xml:space="preserve">модель</w:t>
      </w:r>
      <w:r>
        <w:rPr>
          <w:rFonts w:ascii="Times New Roman" w:hAnsi="Times New Roman" w:cs="Times New Roman"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Задача: не копировать</w:t>
      </w:r>
      <w:r>
        <w:rPr>
          <w:rFonts w:ascii="Times New Roman" w:hAnsi="Times New Roman" w:cs="Times New Roman"/>
          <w:i/>
          <w:sz w:val="28"/>
          <w:szCs w:val="28"/>
        </w:rPr>
        <w:t xml:space="preserve"> представленную модель</w:t>
      </w:r>
      <w:r>
        <w:rPr>
          <w:rFonts w:ascii="Times New Roman" w:hAnsi="Times New Roman" w:cs="Times New Roman"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Наставники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стажировочной</w:t>
      </w:r>
      <w:r>
        <w:rPr>
          <w:rFonts w:ascii="Times New Roman" w:hAnsi="Times New Roman" w:cs="Times New Roman"/>
          <w:i/>
          <w:sz w:val="28"/>
          <w:szCs w:val="28"/>
        </w:rPr>
        <w:t xml:space="preserve"> площадки работа</w:t>
      </w:r>
      <w:r>
        <w:rPr>
          <w:rFonts w:ascii="Times New Roman" w:hAnsi="Times New Roman" w:cs="Times New Roman"/>
          <w:i/>
          <w:sz w:val="28"/>
          <w:szCs w:val="28"/>
        </w:rPr>
        <w:t xml:space="preserve">ю</w:t>
      </w:r>
      <w:r>
        <w:rPr>
          <w:rFonts w:ascii="Times New Roman" w:hAnsi="Times New Roman" w:cs="Times New Roman"/>
          <w:i/>
          <w:sz w:val="28"/>
          <w:szCs w:val="28"/>
        </w:rPr>
        <w:t xml:space="preserve">т как </w:t>
      </w:r>
      <w:r>
        <w:rPr>
          <w:rFonts w:ascii="Times New Roman" w:hAnsi="Times New Roman" w:cs="Times New Roman"/>
          <w:i/>
          <w:sz w:val="28"/>
          <w:szCs w:val="28"/>
        </w:rPr>
        <w:t xml:space="preserve">тьюторы</w:t>
      </w:r>
      <w:r>
        <w:rPr>
          <w:rFonts w:ascii="Times New Roman" w:hAnsi="Times New Roman" w:cs="Times New Roman"/>
          <w:i/>
          <w:sz w:val="28"/>
          <w:szCs w:val="28"/>
        </w:rPr>
        <w:t xml:space="preserve">, перемещаясь </w:t>
      </w:r>
      <w:r>
        <w:rPr>
          <w:rFonts w:ascii="Times New Roman" w:hAnsi="Times New Roman" w:cs="Times New Roman"/>
          <w:i/>
          <w:sz w:val="28"/>
          <w:szCs w:val="28"/>
        </w:rPr>
        <w:t xml:space="preserve">внутри</w:t>
      </w:r>
      <w:r>
        <w:rPr>
          <w:rFonts w:ascii="Times New Roman" w:hAnsi="Times New Roman" w:cs="Times New Roman"/>
          <w:i/>
          <w:sz w:val="28"/>
          <w:szCs w:val="28"/>
        </w:rPr>
        <w:t xml:space="preserve"> групп и помогая снять возникающие вопросы.</w:t>
      </w:r>
      <w:r>
        <w:rPr>
          <w:rFonts w:ascii="Times New Roman" w:hAnsi="Times New Roman" w:cs="Times New Roman"/>
          <w:i/>
          <w:sz w:val="28"/>
          <w:szCs w:val="28"/>
        </w:rPr>
      </w:r>
    </w:p>
    <w:p>
      <w:pPr>
        <w:contextualSpacing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Итог </w:t>
      </w:r>
      <w:r>
        <w:rPr>
          <w:rFonts w:ascii="Times New Roman" w:hAnsi="Times New Roman" w:cs="Times New Roman"/>
          <w:i/>
          <w:sz w:val="28"/>
          <w:szCs w:val="28"/>
        </w:rPr>
        <w:t xml:space="preserve">работы</w:t>
      </w:r>
      <w:r>
        <w:rPr>
          <w:rFonts w:ascii="Times New Roman" w:hAnsi="Times New Roman" w:cs="Times New Roman"/>
          <w:i/>
          <w:sz w:val="28"/>
          <w:szCs w:val="28"/>
        </w:rPr>
        <w:t xml:space="preserve">:</w:t>
      </w:r>
      <w:r>
        <w:rPr>
          <w:rFonts w:ascii="Times New Roman" w:hAnsi="Times New Roman" w:cs="Times New Roman"/>
          <w:i/>
          <w:sz w:val="28"/>
          <w:szCs w:val="28"/>
        </w:rPr>
        <w:t xml:space="preserve"> со</w:t>
      </w:r>
      <w:r>
        <w:rPr>
          <w:rFonts w:ascii="Times New Roman" w:hAnsi="Times New Roman" w:cs="Times New Roman"/>
          <w:i/>
          <w:sz w:val="28"/>
          <w:szCs w:val="28"/>
        </w:rPr>
        <w:t xml:space="preserve">здан </w:t>
      </w:r>
      <w:r>
        <w:rPr>
          <w:rFonts w:ascii="Times New Roman" w:hAnsi="Times New Roman" w:cs="Times New Roman"/>
          <w:i/>
          <w:sz w:val="28"/>
          <w:szCs w:val="28"/>
        </w:rPr>
        <w:t xml:space="preserve">проект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модели</w:t>
      </w:r>
      <w:r>
        <w:rPr>
          <w:rFonts w:ascii="Times New Roman" w:hAnsi="Times New Roman" w:cs="Times New Roman"/>
          <w:i/>
          <w:sz w:val="28"/>
          <w:szCs w:val="28"/>
        </w:rPr>
        <w:t xml:space="preserve"> преемственности</w:t>
      </w:r>
      <w:r>
        <w:rPr>
          <w:rFonts w:ascii="Times New Roman" w:hAnsi="Times New Roman" w:cs="Times New Roman"/>
          <w:i/>
          <w:sz w:val="28"/>
          <w:szCs w:val="28"/>
        </w:rPr>
        <w:t xml:space="preserve"> для каждо</w:t>
      </w:r>
      <w:r>
        <w:rPr>
          <w:rFonts w:ascii="Times New Roman" w:hAnsi="Times New Roman" w:cs="Times New Roman"/>
          <w:i/>
          <w:sz w:val="28"/>
          <w:szCs w:val="28"/>
        </w:rPr>
        <w:t xml:space="preserve">й подгруппы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участни</w:t>
      </w:r>
      <w:r>
        <w:rPr>
          <w:rFonts w:ascii="Times New Roman" w:hAnsi="Times New Roman" w:cs="Times New Roman"/>
          <w:i/>
          <w:sz w:val="28"/>
          <w:szCs w:val="28"/>
        </w:rPr>
        <w:t xml:space="preserve">к</w:t>
      </w:r>
      <w:r>
        <w:rPr>
          <w:rFonts w:ascii="Times New Roman" w:hAnsi="Times New Roman" w:cs="Times New Roman"/>
          <w:i/>
          <w:sz w:val="28"/>
          <w:szCs w:val="28"/>
        </w:rPr>
        <w:t xml:space="preserve">ов</w:t>
      </w:r>
      <w:r>
        <w:rPr>
          <w:rFonts w:ascii="Times New Roman" w:hAnsi="Times New Roman" w:cs="Times New Roman"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i/>
          <w:sz w:val="28"/>
          <w:szCs w:val="28"/>
        </w:rPr>
      </w:r>
    </w:p>
    <w:p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Презентация и защита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проектов,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созданных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стажёрами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моделей преемственности уровней образования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Питч-сессия «</w:t>
      </w:r>
      <w:r>
        <w:rPr>
          <w:rFonts w:ascii="Times New Roman" w:hAnsi="Times New Roman" w:cs="Times New Roman"/>
          <w:i/>
          <w:sz w:val="28"/>
          <w:szCs w:val="28"/>
        </w:rPr>
        <w:t xml:space="preserve">Моя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модель</w:t>
      </w:r>
      <w:r>
        <w:rPr>
          <w:rFonts w:ascii="Times New Roman" w:hAnsi="Times New Roman" w:cs="Times New Roman"/>
          <w:i/>
          <w:sz w:val="28"/>
          <w:szCs w:val="28"/>
        </w:rPr>
        <w:t xml:space="preserve">»</w:t>
      </w:r>
      <w:r>
        <w:rPr>
          <w:rFonts w:ascii="Times New Roman" w:hAnsi="Times New Roman" w:cs="Times New Roman"/>
          <w:i/>
          <w:sz w:val="28"/>
          <w:szCs w:val="28"/>
        </w:rPr>
        <w:t xml:space="preserve">: Каждая команда представляет на 5-7 минут ключевые элементы свое</w:t>
      </w:r>
      <w:r>
        <w:rPr>
          <w:rFonts w:ascii="Times New Roman" w:hAnsi="Times New Roman" w:cs="Times New Roman"/>
          <w:i/>
          <w:sz w:val="28"/>
          <w:szCs w:val="28"/>
        </w:rPr>
        <w:t xml:space="preserve">й модели</w:t>
      </w:r>
      <w:r>
        <w:rPr>
          <w:rFonts w:ascii="Times New Roman" w:hAnsi="Times New Roman" w:cs="Times New Roman"/>
          <w:i/>
          <w:sz w:val="28"/>
          <w:szCs w:val="28"/>
        </w:rPr>
        <w:t xml:space="preserve">. Фокус на первых шагах, которые они готовы сделать в течение месяца после возвращения.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Экспертное рецензирование: Команды и </w:t>
      </w:r>
      <w:r>
        <w:rPr>
          <w:rFonts w:ascii="Times New Roman" w:hAnsi="Times New Roman" w:cs="Times New Roman"/>
          <w:i/>
          <w:sz w:val="28"/>
          <w:szCs w:val="28"/>
        </w:rPr>
        <w:t xml:space="preserve">наставники</w:t>
      </w:r>
      <w:r>
        <w:rPr>
          <w:rFonts w:ascii="Times New Roman" w:hAnsi="Times New Roman" w:cs="Times New Roman"/>
          <w:i/>
          <w:sz w:val="28"/>
          <w:szCs w:val="28"/>
        </w:rPr>
        <w:t xml:space="preserve"> дают конструктив</w:t>
      </w:r>
      <w:r>
        <w:rPr>
          <w:rFonts w:ascii="Times New Roman" w:hAnsi="Times New Roman" w:cs="Times New Roman"/>
          <w:i/>
          <w:sz w:val="28"/>
          <w:szCs w:val="28"/>
        </w:rPr>
        <w:t xml:space="preserve">ную обратную связь по принципу «</w:t>
      </w:r>
      <w:r>
        <w:rPr>
          <w:rFonts w:ascii="Times New Roman" w:hAnsi="Times New Roman" w:cs="Times New Roman"/>
          <w:i/>
          <w:sz w:val="28"/>
          <w:szCs w:val="28"/>
        </w:rPr>
        <w:t xml:space="preserve">что стоит усилит</w:t>
      </w:r>
      <w:r>
        <w:rPr>
          <w:rFonts w:ascii="Times New Roman" w:hAnsi="Times New Roman" w:cs="Times New Roman"/>
          <w:i/>
          <w:sz w:val="28"/>
          <w:szCs w:val="28"/>
        </w:rPr>
        <w:t xml:space="preserve">ь, что учесть, какие риски есть»</w:t>
      </w:r>
      <w:r>
        <w:rPr>
          <w:rFonts w:ascii="Times New Roman" w:hAnsi="Times New Roman" w:cs="Times New Roman"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</w: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Круглый стол «</w:t>
      </w:r>
      <w:r>
        <w:rPr>
          <w:rFonts w:ascii="Times New Roman" w:hAnsi="Times New Roman" w:cs="Times New Roman"/>
          <w:b/>
          <w:sz w:val="28"/>
          <w:szCs w:val="28"/>
        </w:rPr>
        <w:t xml:space="preserve">Инструменты внедре</w:t>
      </w:r>
      <w:r>
        <w:rPr>
          <w:rFonts w:ascii="Times New Roman" w:hAnsi="Times New Roman" w:cs="Times New Roman"/>
          <w:b/>
          <w:sz w:val="28"/>
          <w:szCs w:val="28"/>
        </w:rPr>
        <w:t xml:space="preserve">ния и преодоления сопротивления»</w:t>
      </w:r>
      <w:r>
        <w:rPr>
          <w:rFonts w:ascii="Times New Roman" w:hAnsi="Times New Roman" w:cs="Times New Roman"/>
          <w:b/>
          <w:sz w:val="28"/>
          <w:szCs w:val="28"/>
        </w:rPr>
      </w:r>
    </w:p>
    <w:p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Парковка вопросов</w:t>
      </w:r>
      <w:r>
        <w:rPr>
          <w:rFonts w:ascii="Times New Roman" w:hAnsi="Times New Roman" w:cs="Times New Roman"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Открытый разговор о том, как </w:t>
      </w:r>
      <w:r>
        <w:rPr>
          <w:rFonts w:ascii="Times New Roman" w:hAnsi="Times New Roman" w:cs="Times New Roman"/>
          <w:i/>
          <w:sz w:val="28"/>
          <w:szCs w:val="28"/>
        </w:rPr>
        <w:t xml:space="preserve">продвигать</w:t>
      </w:r>
      <w:r>
        <w:rPr>
          <w:rFonts w:ascii="Times New Roman" w:hAnsi="Times New Roman" w:cs="Times New Roman"/>
          <w:i/>
          <w:sz w:val="28"/>
          <w:szCs w:val="28"/>
        </w:rPr>
        <w:t xml:space="preserve"> идею преемственности педагогическому коллективу, как мотивировать </w:t>
      </w:r>
      <w:r>
        <w:rPr>
          <w:rFonts w:ascii="Times New Roman" w:hAnsi="Times New Roman" w:cs="Times New Roman"/>
          <w:i/>
          <w:sz w:val="28"/>
          <w:szCs w:val="28"/>
        </w:rPr>
        <w:t xml:space="preserve">воспитателей, </w:t>
      </w:r>
      <w:r>
        <w:rPr>
          <w:rFonts w:ascii="Times New Roman" w:hAnsi="Times New Roman" w:cs="Times New Roman"/>
          <w:i/>
          <w:sz w:val="28"/>
          <w:szCs w:val="28"/>
        </w:rPr>
        <w:t xml:space="preserve">учителей, как вписать новую деятельность в существующую </w:t>
      </w:r>
      <w:r>
        <w:rPr>
          <w:rFonts w:ascii="Times New Roman" w:hAnsi="Times New Roman" w:cs="Times New Roman"/>
          <w:i/>
          <w:sz w:val="28"/>
          <w:szCs w:val="28"/>
        </w:rPr>
        <w:t xml:space="preserve">практику</w:t>
      </w:r>
      <w:r>
        <w:rPr>
          <w:rFonts w:ascii="Times New Roman" w:hAnsi="Times New Roman" w:cs="Times New Roman"/>
          <w:i/>
          <w:sz w:val="28"/>
          <w:szCs w:val="28"/>
        </w:rPr>
        <w:t xml:space="preserve">.</w:t>
      </w:r>
      <w:r>
        <w:rPr>
          <w:rFonts w:ascii="Times New Roman" w:hAnsi="Times New Roman" w:cs="Times New Roman"/>
          <w:i/>
          <w:sz w:val="28"/>
          <w:szCs w:val="28"/>
        </w:rPr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Кофе-брейк. </w:t>
      </w:r>
      <w:r>
        <w:rPr>
          <w:rFonts w:ascii="Times New Roman" w:hAnsi="Times New Roman" w:cs="Times New Roman"/>
          <w:b/>
          <w:sz w:val="28"/>
          <w:szCs w:val="28"/>
        </w:rPr>
        <w:t xml:space="preserve">Подведение итогов. Рефлексия «</w:t>
      </w:r>
      <w:r>
        <w:rPr>
          <w:rFonts w:ascii="Times New Roman" w:hAnsi="Times New Roman" w:cs="Times New Roman"/>
          <w:b/>
          <w:sz w:val="28"/>
          <w:szCs w:val="28"/>
        </w:rPr>
        <w:t xml:space="preserve">Мой план действий</w:t>
      </w:r>
      <w:r>
        <w:rPr>
          <w:rFonts w:ascii="Times New Roman" w:hAnsi="Times New Roman" w:cs="Times New Roman"/>
          <w:b/>
          <w:sz w:val="28"/>
          <w:szCs w:val="28"/>
        </w:rPr>
        <w:t xml:space="preserve">, что</w:t>
      </w:r>
      <w:r>
        <w:rPr>
          <w:rFonts w:ascii="Times New Roman" w:hAnsi="Times New Roman" w:cs="Times New Roman"/>
          <w:b/>
          <w:sz w:val="28"/>
          <w:szCs w:val="28"/>
        </w:rPr>
        <w:t xml:space="preserve"> я беру с собой?</w:t>
      </w:r>
      <w:r>
        <w:rPr>
          <w:rFonts w:ascii="Times New Roman" w:hAnsi="Times New Roman" w:cs="Times New Roman"/>
          <w:b/>
          <w:sz w:val="28"/>
          <w:szCs w:val="28"/>
        </w:rPr>
        <w:t xml:space="preserve"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</w:p>
    <w:sectPr>
      <w:footnotePr/>
      <w:endnotePr/>
      <w:type w:val="nextPage"/>
      <w:pgSz w:w="11906" w:h="16838" w:orient="portrait"/>
      <w:pgMar w:top="1134" w:right="850" w:bottom="1134" w:left="1134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Segoe UI">
    <w:panose1 w:val="020B050204050402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"/>
      <w:lvlJc w:val="left"/>
      <w:pPr>
        <w:ind w:left="179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51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323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95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67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39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611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83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550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8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710"/>
      </w:pPr>
      <w:rPr>
        <w:rFonts w:hint="default" w:eastAsiaTheme="minorHAnsi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993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713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433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153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873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593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313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033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753" w:hanging="360"/>
      </w:pPr>
      <w:rPr>
        <w:rFonts w:hint="default" w:ascii="Wingdings" w:hAnsi="Wingdings" w:eastAsia="Wingdings" w:cs="Wingdings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43"/>
    <w:link w:val="634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43"/>
    <w:link w:val="635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43"/>
    <w:link w:val="636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43"/>
    <w:link w:val="637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43"/>
    <w:link w:val="638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43"/>
    <w:link w:val="639"/>
    <w:uiPriority w:val="9"/>
    <w:rPr>
      <w:rFonts w:ascii="Arial" w:hAnsi="Arial" w:eastAsia="Arial" w:cs="Arial"/>
      <w:b/>
      <w:bCs/>
      <w:sz w:val="22"/>
      <w:szCs w:val="22"/>
    </w:rPr>
  </w:style>
  <w:style w:type="character" w:styleId="26">
    <w:name w:val="Heading 7 Char"/>
    <w:basedOn w:val="643"/>
    <w:link w:val="640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28">
    <w:name w:val="Heading 8 Char"/>
    <w:basedOn w:val="643"/>
    <w:link w:val="641"/>
    <w:uiPriority w:val="9"/>
    <w:rPr>
      <w:rFonts w:ascii="Arial" w:hAnsi="Arial" w:eastAsia="Arial" w:cs="Arial"/>
      <w:i/>
      <w:iCs/>
      <w:sz w:val="22"/>
      <w:szCs w:val="22"/>
    </w:rPr>
  </w:style>
  <w:style w:type="character" w:styleId="30">
    <w:name w:val="Heading 9 Char"/>
    <w:basedOn w:val="643"/>
    <w:link w:val="642"/>
    <w:uiPriority w:val="9"/>
    <w:rPr>
      <w:rFonts w:ascii="Arial" w:hAnsi="Arial" w:eastAsia="Arial" w:cs="Arial"/>
      <w:i/>
      <w:iCs/>
      <w:sz w:val="21"/>
      <w:szCs w:val="21"/>
    </w:rPr>
  </w:style>
  <w:style w:type="character" w:styleId="35">
    <w:name w:val="Title Char"/>
    <w:basedOn w:val="643"/>
    <w:link w:val="655"/>
    <w:uiPriority w:val="10"/>
    <w:rPr>
      <w:sz w:val="48"/>
      <w:szCs w:val="48"/>
    </w:rPr>
  </w:style>
  <w:style w:type="character" w:styleId="37">
    <w:name w:val="Subtitle Char"/>
    <w:basedOn w:val="643"/>
    <w:link w:val="657"/>
    <w:uiPriority w:val="11"/>
    <w:rPr>
      <w:sz w:val="24"/>
      <w:szCs w:val="24"/>
    </w:rPr>
  </w:style>
  <w:style w:type="character" w:styleId="39">
    <w:name w:val="Quote Char"/>
    <w:link w:val="659"/>
    <w:uiPriority w:val="29"/>
    <w:rPr>
      <w:i/>
    </w:rPr>
  </w:style>
  <w:style w:type="character" w:styleId="41">
    <w:name w:val="Intense Quote Char"/>
    <w:link w:val="663"/>
    <w:uiPriority w:val="30"/>
    <w:rPr>
      <w:i/>
    </w:rPr>
  </w:style>
  <w:style w:type="paragraph" w:styleId="42">
    <w:name w:val="Header"/>
    <w:basedOn w:val="633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43"/>
    <w:link w:val="42"/>
    <w:uiPriority w:val="99"/>
  </w:style>
  <w:style w:type="paragraph" w:styleId="44">
    <w:name w:val="Footer"/>
    <w:basedOn w:val="633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43"/>
    <w:link w:val="44"/>
    <w:uiPriority w:val="99"/>
  </w:style>
  <w:style w:type="paragraph" w:styleId="46">
    <w:name w:val="Caption"/>
    <w:basedOn w:val="633"/>
    <w:next w:val="63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4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4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4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4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bfe4f4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bfe4f4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bfe4f4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bfe4f4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c2e6f5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c2e6f5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19749a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1a88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196c23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60cbf3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a02b93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4ea72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bfe4f4" w:themeFill="accent1" w:themeFillTint="34"/>
    </w:tblPr>
    <w:tblStylePr w:type="band1Horz">
      <w:tcPr>
        <w:shd w:val="clear" w:color="ffffff" w:themeColor="accent1" w:themeTint="75" w:fill="70c4e7" w:themeFill="accent1" w:themeFillTint="75"/>
      </w:tcPr>
    </w:tblStylePr>
    <w:tblStylePr w:type="band1Vert">
      <w:tcPr>
        <w:shd w:val="clear" w:color="ffffff" w:themeColor="accent1" w:themeTint="75" w:fill="70c4e7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156082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56082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156082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156082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ae2d7" w:themeFill="accent2" w:themeFillTint="32"/>
    </w:tblPr>
    <w:tblStylePr w:type="band1Horz">
      <w:tcPr>
        <w:shd w:val="clear" w:color="ffffff" w:themeColor="accent2" w:themeTint="75" w:fill="f4bca1" w:themeFill="accent2" w:themeFillTint="75"/>
      </w:tcPr>
    </w:tblStylePr>
    <w:tblStylePr w:type="band1Vert">
      <w:tcPr>
        <w:shd w:val="clear" w:color="ffffff" w:themeColor="accent2" w:themeTint="75" w:fill="f4bc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97132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97132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97132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97132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bff0c5" w:themeFill="accent3" w:themeFillTint="34"/>
    </w:tblPr>
    <w:tblStylePr w:type="band1Horz">
      <w:tcPr>
        <w:shd w:val="clear" w:color="ffffff" w:themeColor="accent3" w:themeTint="75" w:fill="72dd7e" w:themeFill="accent3" w:themeFillTint="75"/>
      </w:tcPr>
    </w:tblStylePr>
    <w:tblStylePr w:type="band1Vert">
      <w:tcPr>
        <w:shd w:val="clear" w:color="ffffff" w:themeColor="accent3" w:themeTint="75" w:fill="72dd7e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196b24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196b24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196b24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196b24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c8edfb" w:themeFill="accent4" w:themeFillTint="34"/>
    </w:tblPr>
    <w:tblStylePr w:type="band1Horz">
      <w:tcPr>
        <w:shd w:val="clear" w:color="ffffff" w:themeColor="accent4" w:themeTint="75" w:fill="85d7f6" w:themeFill="accent4" w:themeFillTint="75"/>
      </w:tcPr>
    </w:tblStylePr>
    <w:tblStylePr w:type="band1Vert">
      <w:tcPr>
        <w:shd w:val="clear" w:color="ffffff" w:themeColor="accent4" w:themeTint="75" w:fill="85d7f6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0f9ed5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0f9ed5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0f9ed5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0f9ed5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f1ceed" w:themeFill="accent5" w:themeFillTint="34"/>
    </w:tblPr>
    <w:tblStylePr w:type="band1Horz">
      <w:tcPr>
        <w:shd w:val="clear" w:color="ffffff" w:themeColor="accent5" w:themeTint="75" w:fill="e08fd8" w:themeFill="accent5" w:themeFillTint="75"/>
      </w:tcPr>
    </w:tblStylePr>
    <w:tblStylePr w:type="band1Vert">
      <w:tcPr>
        <w:shd w:val="clear" w:color="ffffff" w:themeColor="accent5" w:themeTint="75" w:fill="e08fd8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a02b93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a02b93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a02b93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a02b93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d9f1d0" w:themeFill="accent6" w:themeFillTint="34"/>
    </w:tblPr>
    <w:tblStylePr w:type="band1Horz">
      <w:tcPr>
        <w:shd w:val="clear" w:color="ffffff" w:themeColor="accent6" w:themeTint="75" w:fill="aae194" w:themeFill="accent6" w:themeFillTint="75"/>
      </w:tcPr>
    </w:tblStylePr>
    <w:tblStylePr w:type="band1Vert">
      <w:tcPr>
        <w:shd w:val="clear" w:color="ffffff" w:themeColor="accent6" w:themeTint="75" w:fill="aae194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4ea72e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4ea72e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4ea72e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4ea72e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bfe4f4" w:themeFill="accent1" w:themeFillTint="34"/>
      </w:tcPr>
    </w:tblStylePr>
    <w:tblStylePr w:type="band1Vert">
      <w:tcPr>
        <w:shd w:val="clear" w:color="ffffff" w:themeColor="accent1" w:themeTint="34" w:fill="bfe4f4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1b7ca4" w:themeColor="accent1" w:themeTint="80" w:themeShade="95"/>
      </w:rPr>
    </w:tblStylePr>
    <w:tblStylePr w:type="firstRow">
      <w:rPr>
        <w:b/>
        <w:color w:val="1b7ca4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1b7ca4" w:themeColor="accent1" w:themeTint="80" w:themeShade="95"/>
      </w:rPr>
    </w:tblStylePr>
    <w:tblStylePr w:type="lastRow">
      <w:rPr>
        <w:b/>
        <w:color w:val="1b7ca4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ae2d7" w:themeFill="accent2" w:themeFillTint="32"/>
      </w:tcPr>
    </w:tblStylePr>
    <w:tblStylePr w:type="band1Vert">
      <w:tcPr>
        <w:shd w:val="clear" w:color="ffffff" w:themeColor="accent2" w:themeTint="32" w:fill="fae2d7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34f16" w:themeColor="accent2" w:themeTint="97" w:themeShade="95"/>
      </w:rPr>
    </w:tblStylePr>
    <w:tblStylePr w:type="firstRow">
      <w:rPr>
        <w:b/>
        <w:color w:val="c34f16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34f16" w:themeColor="accent2" w:themeTint="97" w:themeShade="95"/>
      </w:rPr>
    </w:tblStylePr>
    <w:tblStylePr w:type="lastRow">
      <w:rPr>
        <w:b/>
        <w:color w:val="c34f16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bff0c5" w:themeFill="accent3" w:themeFillTint="34"/>
      </w:tcPr>
    </w:tblStylePr>
    <w:tblStylePr w:type="band1Vert">
      <w:tcPr>
        <w:shd w:val="clear" w:color="ffffff" w:themeColor="accent3" w:themeTint="34" w:fill="bff0c5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0e3f14" w:themeColor="accent3" w:themeTint="FE" w:themeShade="95"/>
      </w:rPr>
    </w:tblStylePr>
    <w:tblStylePr w:type="firstRow">
      <w:rPr>
        <w:b/>
        <w:color w:val="0e3f14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0e3f14" w:themeColor="accent3" w:themeTint="FE" w:themeShade="95"/>
      </w:rPr>
    </w:tblStylePr>
    <w:tblStylePr w:type="lastRow">
      <w:rPr>
        <w:b/>
        <w:color w:val="0e3f14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c8edfb" w:themeFill="accent4" w:themeFillTint="34"/>
      </w:tcPr>
    </w:tblStylePr>
    <w:tblStylePr w:type="band1Vert">
      <w:tcPr>
        <w:shd w:val="clear" w:color="ffffff" w:themeColor="accent4" w:themeTint="34" w:fill="c8edf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0d8ab8" w:themeColor="accent4" w:themeTint="9A" w:themeShade="95"/>
      </w:rPr>
    </w:tblStylePr>
    <w:tblStylePr w:type="firstRow">
      <w:rPr>
        <w:b/>
        <w:color w:val="0d8ab8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0d8ab8" w:themeColor="accent4" w:themeTint="9A" w:themeShade="95"/>
      </w:rPr>
    </w:tblStylePr>
    <w:tblStylePr w:type="lastRow">
      <w:rPr>
        <w:b/>
        <w:color w:val="0d8ab8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f1ceed" w:themeFill="accent5" w:themeFillTint="34"/>
      </w:tcPr>
    </w:tblStylePr>
    <w:tblStylePr w:type="band1Vert">
      <w:tcPr>
        <w:shd w:val="clear" w:color="ffffff" w:themeColor="accent5" w:themeTint="34" w:fill="f1ceed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5c1955" w:themeColor="accent5" w:themeShade="95"/>
      </w:rPr>
    </w:tblStylePr>
    <w:tblStylePr w:type="firstRow">
      <w:rPr>
        <w:b/>
        <w:color w:val="5c1955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5c1955" w:themeColor="accent5" w:themeShade="95"/>
      </w:rPr>
    </w:tblStylePr>
    <w:tblStylePr w:type="lastRow">
      <w:rPr>
        <w:b/>
        <w:color w:val="5c1955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d9f1d0" w:themeFill="accent6" w:themeFillTint="34"/>
      </w:tcPr>
    </w:tblStylePr>
    <w:tblStylePr w:type="band1Vert">
      <w:tcPr>
        <w:shd w:val="clear" w:color="ffffff" w:themeColor="accent6" w:themeTint="34" w:fill="d9f1d0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5c1955" w:themeColor="accent5" w:themeShade="95"/>
      </w:rPr>
    </w:tblStylePr>
    <w:tblStylePr w:type="firstRow">
      <w:rPr>
        <w:b/>
        <w:color w:val="5c1955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5c1955" w:themeColor="accent5" w:themeShade="95"/>
      </w:rPr>
    </w:tblStylePr>
    <w:tblStylePr w:type="lastRow">
      <w:rPr>
        <w:b/>
        <w:color w:val="5c1955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1b7ca4" w:themeColor="accent1" w:themeTint="80" w:themeShade="95"/>
        <w:sz w:val="22"/>
      </w:rPr>
      <w:tcPr>
        <w:shd w:val="clear" w:color="ffffff" w:themeColor="accent1" w:themeTint="34" w:fill="bfe4f4" w:themeFill="accent1" w:themeFillTint="34"/>
      </w:tcPr>
    </w:tblStylePr>
    <w:tblStylePr w:type="band1Vert">
      <w:tcPr>
        <w:shd w:val="clear" w:color="ffffff" w:themeColor="accent1" w:themeTint="34" w:fill="bfe4f4" w:themeFill="accent1" w:themeFillTint="34"/>
      </w:tcPr>
    </w:tblStylePr>
    <w:tblStylePr w:type="band2Horz">
      <w:rPr>
        <w:rFonts w:ascii="Arial" w:hAnsi="Arial"/>
        <w:color w:val="1b7ca4" w:themeColor="accent1" w:themeTint="80" w:themeShade="95"/>
        <w:sz w:val="22"/>
      </w:rPr>
    </w:tblStylePr>
    <w:tblStylePr w:type="firstCol">
      <w:rPr>
        <w:rFonts w:ascii="Arial" w:hAnsi="Arial"/>
        <w:i/>
        <w:color w:val="1b7ca4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1b7ca4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1b7ca4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b7ca4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34f16" w:themeColor="accent2" w:themeTint="97" w:themeShade="95"/>
        <w:sz w:val="22"/>
      </w:rPr>
      <w:tcPr>
        <w:shd w:val="clear" w:color="ffffff" w:themeColor="accent2" w:themeTint="32" w:fill="fae2d7" w:themeFill="accent2" w:themeFillTint="32"/>
      </w:tcPr>
    </w:tblStylePr>
    <w:tblStylePr w:type="band1Vert">
      <w:tcPr>
        <w:shd w:val="clear" w:color="ffffff" w:themeColor="accent2" w:themeTint="32" w:fill="fae2d7" w:themeFill="accent2" w:themeFillTint="32"/>
      </w:tcPr>
    </w:tblStylePr>
    <w:tblStylePr w:type="band2Horz">
      <w:rPr>
        <w:rFonts w:ascii="Arial" w:hAnsi="Arial"/>
        <w:color w:val="c34f16" w:themeColor="accent2" w:themeTint="97" w:themeShade="95"/>
        <w:sz w:val="22"/>
      </w:rPr>
    </w:tblStylePr>
    <w:tblStylePr w:type="firstCol">
      <w:rPr>
        <w:rFonts w:ascii="Arial" w:hAnsi="Arial"/>
        <w:i/>
        <w:color w:val="c34f16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34f16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34f16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34f16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0e3f14" w:themeColor="accent3" w:themeTint="FE" w:themeShade="95"/>
        <w:sz w:val="22"/>
      </w:rPr>
      <w:tcPr>
        <w:shd w:val="clear" w:color="ffffff" w:themeColor="accent3" w:themeTint="34" w:fill="bff0c5" w:themeFill="accent3" w:themeFillTint="34"/>
      </w:tcPr>
    </w:tblStylePr>
    <w:tblStylePr w:type="band1Vert">
      <w:tcPr>
        <w:shd w:val="clear" w:color="ffffff" w:themeColor="accent3" w:themeTint="34" w:fill="bff0c5" w:themeFill="accent3" w:themeFillTint="34"/>
      </w:tcPr>
    </w:tblStylePr>
    <w:tblStylePr w:type="band2Horz">
      <w:rPr>
        <w:rFonts w:ascii="Arial" w:hAnsi="Arial"/>
        <w:color w:val="0e3f14" w:themeColor="accent3" w:themeTint="FE" w:themeShade="95"/>
        <w:sz w:val="22"/>
      </w:rPr>
    </w:tblStylePr>
    <w:tblStylePr w:type="firstCol">
      <w:rPr>
        <w:rFonts w:ascii="Arial" w:hAnsi="Arial"/>
        <w:i/>
        <w:color w:val="0e3f14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0e3f14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0e3f14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0e3f14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0d8ab8" w:themeColor="accent4" w:themeTint="9A" w:themeShade="95"/>
        <w:sz w:val="22"/>
      </w:rPr>
      <w:tcPr>
        <w:shd w:val="clear" w:color="ffffff" w:themeColor="accent4" w:themeTint="34" w:fill="c8edfb" w:themeFill="accent4" w:themeFillTint="34"/>
      </w:tcPr>
    </w:tblStylePr>
    <w:tblStylePr w:type="band1Vert">
      <w:tcPr>
        <w:shd w:val="clear" w:color="ffffff" w:themeColor="accent4" w:themeTint="34" w:fill="c8edfb" w:themeFill="accent4" w:themeFillTint="34"/>
      </w:tcPr>
    </w:tblStylePr>
    <w:tblStylePr w:type="band2Horz">
      <w:rPr>
        <w:rFonts w:ascii="Arial" w:hAnsi="Arial"/>
        <w:color w:val="0d8ab8" w:themeColor="accent4" w:themeTint="9A" w:themeShade="95"/>
        <w:sz w:val="22"/>
      </w:rPr>
    </w:tblStylePr>
    <w:tblStylePr w:type="firstCol">
      <w:rPr>
        <w:rFonts w:ascii="Arial" w:hAnsi="Arial"/>
        <w:i/>
        <w:color w:val="0d8ab8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0d8ab8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0d8ab8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0d8ab8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5c1955" w:themeColor="accent5" w:themeShade="95"/>
        <w:sz w:val="22"/>
      </w:rPr>
      <w:tcPr>
        <w:shd w:val="clear" w:color="ffffff" w:themeColor="accent5" w:themeTint="34" w:fill="f1ceed" w:themeFill="accent5" w:themeFillTint="34"/>
      </w:tcPr>
    </w:tblStylePr>
    <w:tblStylePr w:type="band1Vert">
      <w:tcPr>
        <w:shd w:val="clear" w:color="ffffff" w:themeColor="accent5" w:themeTint="34" w:fill="f1ceed" w:themeFill="accent5" w:themeFillTint="34"/>
      </w:tcPr>
    </w:tblStylePr>
    <w:tblStylePr w:type="band2Horz">
      <w:rPr>
        <w:rFonts w:ascii="Arial" w:hAnsi="Arial"/>
        <w:color w:val="5c1955" w:themeColor="accent5" w:themeShade="95"/>
        <w:sz w:val="22"/>
      </w:rPr>
    </w:tblStylePr>
    <w:tblStylePr w:type="firstCol">
      <w:rPr>
        <w:rFonts w:ascii="Arial" w:hAnsi="Arial"/>
        <w:i/>
        <w:color w:val="5c1955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5c1955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5c1955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1955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2e611a" w:themeColor="accent6" w:themeShade="95"/>
        <w:sz w:val="22"/>
      </w:rPr>
      <w:tcPr>
        <w:shd w:val="clear" w:color="ffffff" w:themeColor="accent6" w:themeTint="34" w:fill="d9f1d0" w:themeFill="accent6" w:themeFillTint="34"/>
      </w:tcPr>
    </w:tblStylePr>
    <w:tblStylePr w:type="band1Vert">
      <w:tcPr>
        <w:shd w:val="clear" w:color="ffffff" w:themeColor="accent6" w:themeTint="34" w:fill="d9f1d0" w:themeFill="accent6" w:themeFillTint="34"/>
      </w:tcPr>
    </w:tblStylePr>
    <w:tblStylePr w:type="band2Horz">
      <w:rPr>
        <w:rFonts w:ascii="Arial" w:hAnsi="Arial"/>
        <w:color w:val="2e611a" w:themeColor="accent6" w:themeShade="95"/>
        <w:sz w:val="22"/>
      </w:rPr>
    </w:tblStylePr>
    <w:tblStylePr w:type="firstCol">
      <w:rPr>
        <w:rFonts w:ascii="Arial" w:hAnsi="Arial"/>
        <w:i/>
        <w:color w:val="2e611a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2e611a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2e611a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e611a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b1dff2" w:themeFill="accent1" w:themeFillTint="40"/>
      </w:tcPr>
    </w:tblStylePr>
    <w:tblStylePr w:type="band1Vert">
      <w:tcPr>
        <w:shd w:val="clear" w:color="ffffff" w:themeColor="accent1" w:themeTint="40" w:fill="b1dff2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9daca" w:themeFill="accent2" w:themeFillTint="40"/>
      </w:tcPr>
    </w:tblStylePr>
    <w:tblStylePr w:type="band1Vert">
      <w:tcPr>
        <w:shd w:val="clear" w:color="ffffff" w:themeColor="accent2" w:themeTint="40" w:fill="f9daca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b2edb9" w:themeFill="accent3" w:themeFillTint="40"/>
      </w:tcPr>
    </w:tblStylePr>
    <w:tblStylePr w:type="band1Vert">
      <w:tcPr>
        <w:shd w:val="clear" w:color="ffffff" w:themeColor="accent3" w:themeTint="40" w:fill="b2edb9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bde9fa" w:themeFill="accent4" w:themeFillTint="40"/>
      </w:tcPr>
    </w:tblStylePr>
    <w:tblStylePr w:type="band1Vert">
      <w:tcPr>
        <w:shd w:val="clear" w:color="ffffff" w:themeColor="accent4" w:themeTint="40" w:fill="bde9fa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eec1e9" w:themeFill="accent5" w:themeFillTint="40"/>
      </w:tcPr>
    </w:tblStylePr>
    <w:tblStylePr w:type="band1Vert">
      <w:tcPr>
        <w:shd w:val="clear" w:color="ffffff" w:themeColor="accent5" w:themeTint="40" w:fill="eec1e9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0eec5" w:themeFill="accent6" w:themeFillTint="40"/>
      </w:tcPr>
    </w:tblStylePr>
    <w:tblStylePr w:type="band1Vert">
      <w:tcPr>
        <w:shd w:val="clear" w:color="ffffff" w:themeColor="accent6" w:themeTint="40" w:fill="d0eec5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1dff2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1dff2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9daca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9daca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b2edb9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b2edb9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bde9fa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bde9fa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eec1e9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eec1e9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0eec5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0eec5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56082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1a88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47d458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60cbf3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d76cc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90d873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1dff2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1dff2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56082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9daca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9daca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97132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b2edb9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b2edb9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196b24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bde9fa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bde9fa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0f9ed5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eec1e9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eec1e9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a02b93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0eec5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0eec5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4ea72e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156082" w:themeFill="accent1"/>
    </w:tblPr>
    <w:tblStylePr w:type="band1Horz">
      <w:tcPr>
        <w:shd w:val="clear" w:color="ffffff" w:themeColor="accent1" w:fill="156082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156082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156082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156082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1a884" w:themeFill="accent2" w:themeFillTint="97"/>
    </w:tblPr>
    <w:tblStylePr w:type="band1Horz">
      <w:tcPr>
        <w:shd w:val="clear" w:color="ffffff" w:themeColor="accent2" w:themeTint="97" w:fill="f1a88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1a88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1a88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1a88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47d458" w:themeFill="accent3" w:themeFillTint="98"/>
    </w:tblPr>
    <w:tblStylePr w:type="band1Horz">
      <w:tcPr>
        <w:shd w:val="clear" w:color="ffffff" w:themeColor="accent3" w:themeTint="98" w:fill="47d458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47d458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47d458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47d458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60cbf3" w:themeFill="accent4" w:themeFillTint="9A"/>
    </w:tblPr>
    <w:tblStylePr w:type="band1Horz">
      <w:tcPr>
        <w:shd w:val="clear" w:color="ffffff" w:themeColor="accent4" w:themeTint="9A" w:fill="60cbf3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60cbf3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60cbf3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60cbf3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d76ccb" w:themeFill="accent5" w:themeFillTint="9A"/>
    </w:tblPr>
    <w:tblStylePr w:type="band1Horz">
      <w:tcPr>
        <w:shd w:val="clear" w:color="ffffff" w:themeColor="accent5" w:themeTint="9A" w:fill="d76cc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d76cc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d76cc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d76cc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90d873" w:themeFill="accent6" w:themeFillTint="98"/>
    </w:tblPr>
    <w:tblStylePr w:type="band1Horz">
      <w:tcPr>
        <w:shd w:val="clear" w:color="ffffff" w:themeColor="accent6" w:themeTint="98" w:fill="90d873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90d873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90d873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90d873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b1dff2" w:themeFill="accent1" w:themeFillTint="40"/>
      </w:tcPr>
    </w:tblStylePr>
    <w:tblStylePr w:type="band1Vert">
      <w:tcPr>
        <w:shd w:val="clear" w:color="ffffff" w:themeColor="accent1" w:themeTint="40" w:fill="b1dff2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0c394b" w:themeColor="accent1" w:themeShade="95"/>
      </w:rPr>
    </w:tblStylePr>
    <w:tblStylePr w:type="firstRow">
      <w:rPr>
        <w:b/>
        <w:color w:val="0c394b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c394b" w:themeColor="accent1" w:themeShade="95"/>
      </w:rPr>
    </w:tblStylePr>
    <w:tblStylePr w:type="lastRow">
      <w:rPr>
        <w:b/>
        <w:color w:val="0c394b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9daca" w:themeFill="accent2" w:themeFillTint="40"/>
      </w:tcPr>
    </w:tblStylePr>
    <w:tblStylePr w:type="band1Vert">
      <w:tcPr>
        <w:shd w:val="clear" w:color="ffffff" w:themeColor="accent2" w:themeTint="40" w:fill="f9daca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34f16" w:themeColor="accent2" w:themeTint="97" w:themeShade="95"/>
      </w:rPr>
    </w:tblStylePr>
    <w:tblStylePr w:type="firstRow">
      <w:rPr>
        <w:b/>
        <w:color w:val="c34f16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34f16" w:themeColor="accent2" w:themeTint="97" w:themeShade="95"/>
      </w:rPr>
    </w:tblStylePr>
    <w:tblStylePr w:type="lastRow">
      <w:rPr>
        <w:b/>
        <w:color w:val="c34f16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b2edb9" w:themeFill="accent3" w:themeFillTint="40"/>
      </w:tcPr>
    </w:tblStylePr>
    <w:tblStylePr w:type="band1Vert">
      <w:tcPr>
        <w:shd w:val="clear" w:color="ffffff" w:themeColor="accent3" w:themeTint="40" w:fill="b2edb9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1f842b" w:themeColor="accent3" w:themeTint="98" w:themeShade="95"/>
      </w:rPr>
    </w:tblStylePr>
    <w:tblStylePr w:type="firstRow">
      <w:rPr>
        <w:b/>
        <w:color w:val="1f842b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1f842b" w:themeColor="accent3" w:themeTint="98" w:themeShade="95"/>
      </w:rPr>
    </w:tblStylePr>
    <w:tblStylePr w:type="lastRow">
      <w:rPr>
        <w:b/>
        <w:color w:val="1f842b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bde9fa" w:themeFill="accent4" w:themeFillTint="40"/>
      </w:tcPr>
    </w:tblStylePr>
    <w:tblStylePr w:type="band1Vert">
      <w:tcPr>
        <w:shd w:val="clear" w:color="ffffff" w:themeColor="accent4" w:themeTint="40" w:fill="bde9fa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0d8ab8" w:themeColor="accent4" w:themeTint="9A" w:themeShade="95"/>
      </w:rPr>
    </w:tblStylePr>
    <w:tblStylePr w:type="firstRow">
      <w:rPr>
        <w:b/>
        <w:color w:val="0d8ab8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0d8ab8" w:themeColor="accent4" w:themeTint="9A" w:themeShade="95"/>
      </w:rPr>
    </w:tblStylePr>
    <w:tblStylePr w:type="lastRow">
      <w:rPr>
        <w:b/>
        <w:color w:val="0d8ab8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eec1e9" w:themeFill="accent5" w:themeFillTint="40"/>
      </w:tcPr>
    </w:tblStylePr>
    <w:tblStylePr w:type="band1Vert">
      <w:tcPr>
        <w:shd w:val="clear" w:color="ffffff" w:themeColor="accent5" w:themeTint="40" w:fill="eec1e9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932888" w:themeColor="accent5" w:themeTint="9A" w:themeShade="95"/>
      </w:rPr>
    </w:tblStylePr>
    <w:tblStylePr w:type="firstRow">
      <w:rPr>
        <w:b/>
        <w:color w:val="932888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932888" w:themeColor="accent5" w:themeTint="9A" w:themeShade="95"/>
      </w:rPr>
    </w:tblStylePr>
    <w:tblStylePr w:type="lastRow">
      <w:rPr>
        <w:b/>
        <w:color w:val="932888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0eec5" w:themeFill="accent6" w:themeFillTint="40"/>
      </w:tcPr>
    </w:tblStylePr>
    <w:tblStylePr w:type="band1Vert">
      <w:tcPr>
        <w:shd w:val="clear" w:color="ffffff" w:themeColor="accent6" w:themeTint="40" w:fill="d0eec5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4b952a" w:themeColor="accent6" w:themeTint="98" w:themeShade="95"/>
      </w:rPr>
    </w:tblStylePr>
    <w:tblStylePr w:type="firstRow">
      <w:rPr>
        <w:b/>
        <w:color w:val="4b952a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4b952a" w:themeColor="accent6" w:themeTint="98" w:themeShade="95"/>
      </w:rPr>
    </w:tblStylePr>
    <w:tblStylePr w:type="lastRow">
      <w:rPr>
        <w:b/>
        <w:color w:val="4b952a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0c394b" w:themeColor="accent1" w:themeShade="95"/>
        <w:sz w:val="22"/>
      </w:rPr>
      <w:tcPr>
        <w:shd w:val="clear" w:color="ffffff" w:themeColor="accent1" w:themeTint="40" w:fill="b1dff2" w:themeFill="accent1" w:themeFillTint="40"/>
      </w:tcPr>
    </w:tblStylePr>
    <w:tblStylePr w:type="band1Vert">
      <w:tcPr>
        <w:shd w:val="clear" w:color="ffffff" w:themeColor="accent1" w:themeTint="40" w:fill="b1dff2" w:themeFill="accent1" w:themeFillTint="40"/>
      </w:tcPr>
    </w:tblStylePr>
    <w:tblStylePr w:type="band2Horz">
      <w:rPr>
        <w:rFonts w:ascii="Arial" w:hAnsi="Arial"/>
        <w:color w:val="0c394b" w:themeColor="accent1" w:themeShade="95"/>
        <w:sz w:val="22"/>
      </w:rPr>
    </w:tblStylePr>
    <w:tblStylePr w:type="firstCol">
      <w:rPr>
        <w:rFonts w:ascii="Arial" w:hAnsi="Arial"/>
        <w:i/>
        <w:color w:val="0c394b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c394b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0c394b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0c394b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0c394b" w:themeColor="accent1" w:themeShade="95"/>
        <w:sz w:val="22"/>
      </w:rPr>
    </w:tblStylePr>
  </w:style>
  <w:style w:type="table" w:styleId="148">
    <w:name w:val="List Table 7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34f16" w:themeColor="accent2" w:themeTint="97" w:themeShade="95"/>
        <w:sz w:val="22"/>
      </w:rPr>
      <w:tcPr>
        <w:shd w:val="clear" w:color="ffffff" w:themeColor="accent2" w:themeTint="40" w:fill="f9daca" w:themeFill="accent2" w:themeFillTint="40"/>
      </w:tcPr>
    </w:tblStylePr>
    <w:tblStylePr w:type="band1Vert">
      <w:tcPr>
        <w:shd w:val="clear" w:color="ffffff" w:themeColor="accent2" w:themeTint="40" w:fill="f9daca" w:themeFill="accent2" w:themeFillTint="40"/>
      </w:tcPr>
    </w:tblStylePr>
    <w:tblStylePr w:type="band2Horz">
      <w:rPr>
        <w:rFonts w:ascii="Arial" w:hAnsi="Arial"/>
        <w:color w:val="c34f16" w:themeColor="accent2" w:themeTint="97" w:themeShade="95"/>
        <w:sz w:val="22"/>
      </w:rPr>
    </w:tblStylePr>
    <w:tblStylePr w:type="firstCol">
      <w:rPr>
        <w:rFonts w:ascii="Arial" w:hAnsi="Arial"/>
        <w:i/>
        <w:color w:val="c34f16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34f16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34f16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34f16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34f16" w:themeColor="accent2" w:themeTint="97" w:themeShade="95"/>
        <w:sz w:val="22"/>
      </w:rPr>
    </w:tblStylePr>
  </w:style>
  <w:style w:type="table" w:styleId="149">
    <w:name w:val="List Table 7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1f842b" w:themeColor="accent3" w:themeTint="98" w:themeShade="95"/>
        <w:sz w:val="22"/>
      </w:rPr>
      <w:tcPr>
        <w:shd w:val="clear" w:color="ffffff" w:themeColor="accent3" w:themeTint="40" w:fill="b2edb9" w:themeFill="accent3" w:themeFillTint="40"/>
      </w:tcPr>
    </w:tblStylePr>
    <w:tblStylePr w:type="band1Vert">
      <w:tcPr>
        <w:shd w:val="clear" w:color="ffffff" w:themeColor="accent3" w:themeTint="40" w:fill="b2edb9" w:themeFill="accent3" w:themeFillTint="40"/>
      </w:tcPr>
    </w:tblStylePr>
    <w:tblStylePr w:type="band2Horz">
      <w:rPr>
        <w:rFonts w:ascii="Arial" w:hAnsi="Arial"/>
        <w:color w:val="1f842b" w:themeColor="accent3" w:themeTint="98" w:themeShade="95"/>
        <w:sz w:val="22"/>
      </w:rPr>
    </w:tblStylePr>
    <w:tblStylePr w:type="firstCol">
      <w:rPr>
        <w:rFonts w:ascii="Arial" w:hAnsi="Arial"/>
        <w:i/>
        <w:color w:val="1f842b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1f842b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1f842b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1f842b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1f842b" w:themeColor="accent3" w:themeTint="98" w:themeShade="95"/>
        <w:sz w:val="22"/>
      </w:rPr>
    </w:tblStylePr>
  </w:style>
  <w:style w:type="table" w:styleId="150">
    <w:name w:val="List Table 7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0d8ab8" w:themeColor="accent4" w:themeTint="9A" w:themeShade="95"/>
        <w:sz w:val="22"/>
      </w:rPr>
      <w:tcPr>
        <w:shd w:val="clear" w:color="ffffff" w:themeColor="accent4" w:themeTint="40" w:fill="bde9fa" w:themeFill="accent4" w:themeFillTint="40"/>
      </w:tcPr>
    </w:tblStylePr>
    <w:tblStylePr w:type="band1Vert">
      <w:tcPr>
        <w:shd w:val="clear" w:color="ffffff" w:themeColor="accent4" w:themeTint="40" w:fill="bde9fa" w:themeFill="accent4" w:themeFillTint="40"/>
      </w:tcPr>
    </w:tblStylePr>
    <w:tblStylePr w:type="band2Horz">
      <w:rPr>
        <w:rFonts w:ascii="Arial" w:hAnsi="Arial"/>
        <w:color w:val="0d8ab8" w:themeColor="accent4" w:themeTint="9A" w:themeShade="95"/>
        <w:sz w:val="22"/>
      </w:rPr>
    </w:tblStylePr>
    <w:tblStylePr w:type="firstCol">
      <w:rPr>
        <w:rFonts w:ascii="Arial" w:hAnsi="Arial"/>
        <w:i/>
        <w:color w:val="0d8ab8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0d8ab8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0d8ab8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0d8ab8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0d8ab8" w:themeColor="accent4" w:themeTint="9A" w:themeShade="95"/>
        <w:sz w:val="22"/>
      </w:rPr>
    </w:tblStylePr>
  </w:style>
  <w:style w:type="table" w:styleId="151">
    <w:name w:val="List Table 7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932888" w:themeColor="accent5" w:themeTint="9A" w:themeShade="95"/>
        <w:sz w:val="22"/>
      </w:rPr>
      <w:tcPr>
        <w:shd w:val="clear" w:color="ffffff" w:themeColor="accent5" w:themeTint="40" w:fill="eec1e9" w:themeFill="accent5" w:themeFillTint="40"/>
      </w:tcPr>
    </w:tblStylePr>
    <w:tblStylePr w:type="band1Vert">
      <w:tcPr>
        <w:shd w:val="clear" w:color="ffffff" w:themeColor="accent5" w:themeTint="40" w:fill="eec1e9" w:themeFill="accent5" w:themeFillTint="40"/>
      </w:tcPr>
    </w:tblStylePr>
    <w:tblStylePr w:type="band2Horz">
      <w:rPr>
        <w:rFonts w:ascii="Arial" w:hAnsi="Arial"/>
        <w:color w:val="932888" w:themeColor="accent5" w:themeTint="9A" w:themeShade="95"/>
        <w:sz w:val="22"/>
      </w:rPr>
    </w:tblStylePr>
    <w:tblStylePr w:type="firstCol">
      <w:rPr>
        <w:rFonts w:ascii="Arial" w:hAnsi="Arial"/>
        <w:i/>
        <w:color w:val="932888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932888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932888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32888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32888" w:themeColor="accent5" w:themeTint="9A" w:themeShade="95"/>
        <w:sz w:val="22"/>
      </w:rPr>
    </w:tblStylePr>
  </w:style>
  <w:style w:type="table" w:styleId="152">
    <w:name w:val="List Table 7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b952a" w:themeColor="accent6" w:themeTint="98" w:themeShade="95"/>
        <w:sz w:val="22"/>
      </w:rPr>
      <w:tcPr>
        <w:shd w:val="clear" w:color="ffffff" w:themeColor="accent6" w:themeTint="40" w:fill="d0eec5" w:themeFill="accent6" w:themeFillTint="40"/>
      </w:tcPr>
    </w:tblStylePr>
    <w:tblStylePr w:type="band1Vert">
      <w:tcPr>
        <w:shd w:val="clear" w:color="ffffff" w:themeColor="accent6" w:themeTint="40" w:fill="d0eec5" w:themeFill="accent6" w:themeFillTint="40"/>
      </w:tcPr>
    </w:tblStylePr>
    <w:tblStylePr w:type="band2Horz">
      <w:rPr>
        <w:rFonts w:ascii="Arial" w:hAnsi="Arial"/>
        <w:color w:val="4b952a" w:themeColor="accent6" w:themeTint="98" w:themeShade="95"/>
        <w:sz w:val="22"/>
      </w:rPr>
    </w:tblStylePr>
    <w:tblStylePr w:type="firstCol">
      <w:rPr>
        <w:rFonts w:ascii="Arial" w:hAnsi="Arial"/>
        <w:i/>
        <w:color w:val="4b952a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4b952a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4b952a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b952a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b952a" w:themeColor="accent6" w:themeTint="98" w:themeShade="95"/>
        <w:sz w:val="22"/>
      </w:rPr>
    </w:tblStylePr>
  </w:style>
  <w:style w:type="table" w:styleId="153">
    <w:name w:val="Lined - Accent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9ed7e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9ed7e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</w:style>
  <w:style w:type="table" w:styleId="155">
    <w:name w:val="Lined - Accent 2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</w:style>
  <w:style w:type="table" w:styleId="156">
    <w:name w:val="Lined - Accent 3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</w:style>
  <w:style w:type="table" w:styleId="157">
    <w:name w:val="Lined - Accent 4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</w:style>
  <w:style w:type="table" w:styleId="158">
    <w:name w:val="Lined - Accent 5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</w:style>
  <w:style w:type="table" w:styleId="159">
    <w:name w:val="Lined - Accent 6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</w:style>
  <w:style w:type="table" w:styleId="160">
    <w:name w:val="Bordered &amp; Lined - Accent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9ed7e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9ed7e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9749a" w:themeFill="accent1" w:themeFillTint="EA"/>
      </w:tcPr>
    </w:tblStylePr>
  </w:style>
  <w:style w:type="table" w:styleId="162">
    <w:name w:val="Bordered &amp; Lined - Accent 2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ae2d7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1a884" w:themeFill="accent2" w:themeFillTint="97"/>
      </w:tcPr>
    </w:tblStylePr>
  </w:style>
  <w:style w:type="table" w:styleId="163">
    <w:name w:val="Bordered &amp; Lined - Accent 3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bff0c5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196c23" w:themeFill="accent3" w:themeFillTint="FE"/>
      </w:tcPr>
    </w:tblStylePr>
  </w:style>
  <w:style w:type="table" w:styleId="164">
    <w:name w:val="Bordered &amp; Lined - Accent 4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c8edf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60cbf3" w:themeFill="accent4" w:themeFillTint="9A"/>
      </w:tcPr>
    </w:tblStylePr>
  </w:style>
  <w:style w:type="table" w:styleId="165">
    <w:name w:val="Bordered &amp; Lined - Accent 5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1ceed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a02b93" w:themeFill="accent5"/>
      </w:tcPr>
    </w:tblStylePr>
  </w:style>
  <w:style w:type="table" w:styleId="166">
    <w:name w:val="Bordered &amp; Lined - Accent 6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d9f1d0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4ea72e" w:themeFill="accent6"/>
      </w:tcPr>
    </w:tblStylePr>
  </w:style>
  <w:style w:type="table" w:styleId="167">
    <w:name w:val="Bordered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33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43"/>
    <w:uiPriority w:val="99"/>
    <w:unhideWhenUsed/>
    <w:rPr>
      <w:vertAlign w:val="superscript"/>
    </w:rPr>
  </w:style>
  <w:style w:type="paragraph" w:styleId="178">
    <w:name w:val="endnote text"/>
    <w:basedOn w:val="633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43"/>
    <w:uiPriority w:val="99"/>
    <w:semiHidden/>
    <w:unhideWhenUsed/>
    <w:rPr>
      <w:vertAlign w:val="superscript"/>
    </w:rPr>
  </w:style>
  <w:style w:type="paragraph" w:styleId="181">
    <w:name w:val="toc 1"/>
    <w:basedOn w:val="633"/>
    <w:next w:val="633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33"/>
    <w:next w:val="633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33"/>
    <w:next w:val="633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33"/>
    <w:next w:val="633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33"/>
    <w:next w:val="633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33"/>
    <w:next w:val="633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33"/>
    <w:next w:val="633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33"/>
    <w:next w:val="633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33"/>
    <w:next w:val="633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33"/>
    <w:next w:val="633"/>
    <w:uiPriority w:val="99"/>
    <w:unhideWhenUsed/>
    <w:pPr>
      <w:spacing w:after="0" w:afterAutospacing="0"/>
    </w:pPr>
  </w:style>
  <w:style w:type="paragraph" w:styleId="633" w:default="1">
    <w:name w:val="Normal"/>
    <w:qFormat/>
  </w:style>
  <w:style w:type="paragraph" w:styleId="634">
    <w:name w:val="Heading 1"/>
    <w:basedOn w:val="633"/>
    <w:next w:val="633"/>
    <w:link w:val="646"/>
    <w:uiPriority w:val="9"/>
    <w:qFormat/>
    <w:pPr>
      <w:keepLines/>
      <w:keepNext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635">
    <w:name w:val="Heading 2"/>
    <w:basedOn w:val="633"/>
    <w:next w:val="633"/>
    <w:link w:val="647"/>
    <w:uiPriority w:val="9"/>
    <w:semiHidden/>
    <w:unhideWhenUsed/>
    <w:qFormat/>
    <w:pPr>
      <w:keepLines/>
      <w:keepNext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636">
    <w:name w:val="Heading 3"/>
    <w:basedOn w:val="633"/>
    <w:next w:val="633"/>
    <w:link w:val="648"/>
    <w:uiPriority w:val="9"/>
    <w:semiHidden/>
    <w:unhideWhenUsed/>
    <w:qFormat/>
    <w:pPr>
      <w:keepLines/>
      <w:keepNext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637">
    <w:name w:val="Heading 4"/>
    <w:basedOn w:val="633"/>
    <w:next w:val="633"/>
    <w:link w:val="649"/>
    <w:uiPriority w:val="9"/>
    <w:semiHidden/>
    <w:unhideWhenUsed/>
    <w:qFormat/>
    <w:pPr>
      <w:keepLines/>
      <w:keepNext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638">
    <w:name w:val="Heading 5"/>
    <w:basedOn w:val="633"/>
    <w:next w:val="633"/>
    <w:link w:val="650"/>
    <w:uiPriority w:val="9"/>
    <w:semiHidden/>
    <w:unhideWhenUsed/>
    <w:qFormat/>
    <w:pPr>
      <w:keepLines/>
      <w:keepNext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39">
    <w:name w:val="Heading 6"/>
    <w:basedOn w:val="633"/>
    <w:next w:val="633"/>
    <w:link w:val="651"/>
    <w:uiPriority w:val="9"/>
    <w:semiHidden/>
    <w:unhideWhenUsed/>
    <w:qFormat/>
    <w:pPr>
      <w:keepLines/>
      <w:keepNext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640">
    <w:name w:val="Heading 7"/>
    <w:basedOn w:val="633"/>
    <w:next w:val="633"/>
    <w:link w:val="652"/>
    <w:uiPriority w:val="9"/>
    <w:semiHidden/>
    <w:unhideWhenUsed/>
    <w:qFormat/>
    <w:pPr>
      <w:keepLines/>
      <w:keepNext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641">
    <w:name w:val="Heading 8"/>
    <w:basedOn w:val="633"/>
    <w:next w:val="633"/>
    <w:link w:val="653"/>
    <w:uiPriority w:val="9"/>
    <w:semiHidden/>
    <w:unhideWhenUsed/>
    <w:qFormat/>
    <w:pPr>
      <w:keepLines/>
      <w:keepNext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642">
    <w:name w:val="Heading 9"/>
    <w:basedOn w:val="633"/>
    <w:next w:val="633"/>
    <w:link w:val="654"/>
    <w:uiPriority w:val="9"/>
    <w:semiHidden/>
    <w:unhideWhenUsed/>
    <w:qFormat/>
    <w:pPr>
      <w:keepLines/>
      <w:keepNext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643" w:default="1">
    <w:name w:val="Default Paragraph Font"/>
    <w:uiPriority w:val="1"/>
    <w:semiHidden/>
    <w:unhideWhenUsed/>
  </w:style>
  <w:style w:type="table" w:styleId="64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45" w:default="1">
    <w:name w:val="No List"/>
    <w:uiPriority w:val="99"/>
    <w:semiHidden/>
    <w:unhideWhenUsed/>
  </w:style>
  <w:style w:type="character" w:styleId="646" w:customStyle="1">
    <w:name w:val="Заголовок 1 Знак"/>
    <w:basedOn w:val="643"/>
    <w:link w:val="634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647" w:customStyle="1">
    <w:name w:val="Заголовок 2 Знак"/>
    <w:basedOn w:val="643"/>
    <w:link w:val="635"/>
    <w:uiPriority w:val="9"/>
    <w:semiHidden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648" w:customStyle="1">
    <w:name w:val="Заголовок 3 Знак"/>
    <w:basedOn w:val="643"/>
    <w:link w:val="636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styleId="649" w:customStyle="1">
    <w:name w:val="Заголовок 4 Знак"/>
    <w:basedOn w:val="643"/>
    <w:link w:val="637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styleId="650" w:customStyle="1">
    <w:name w:val="Заголовок 5 Знак"/>
    <w:basedOn w:val="643"/>
    <w:link w:val="638"/>
    <w:uiPriority w:val="9"/>
    <w:semiHidden/>
    <w:rPr>
      <w:rFonts w:eastAsiaTheme="majorEastAsia" w:cstheme="majorBidi"/>
      <w:color w:val="0f4761" w:themeColor="accent1" w:themeShade="BF"/>
    </w:rPr>
  </w:style>
  <w:style w:type="character" w:styleId="651" w:customStyle="1">
    <w:name w:val="Заголовок 6 Знак"/>
    <w:basedOn w:val="643"/>
    <w:link w:val="639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652" w:customStyle="1">
    <w:name w:val="Заголовок 7 Знак"/>
    <w:basedOn w:val="643"/>
    <w:link w:val="640"/>
    <w:uiPriority w:val="9"/>
    <w:semiHidden/>
    <w:rPr>
      <w:rFonts w:eastAsiaTheme="majorEastAsia" w:cstheme="majorBidi"/>
      <w:color w:val="595959" w:themeColor="text1" w:themeTint="A6"/>
    </w:rPr>
  </w:style>
  <w:style w:type="character" w:styleId="653" w:customStyle="1">
    <w:name w:val="Заголовок 8 Знак"/>
    <w:basedOn w:val="643"/>
    <w:link w:val="641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styleId="654" w:customStyle="1">
    <w:name w:val="Заголовок 9 Знак"/>
    <w:basedOn w:val="643"/>
    <w:link w:val="642"/>
    <w:uiPriority w:val="9"/>
    <w:semiHidden/>
    <w:rPr>
      <w:rFonts w:eastAsiaTheme="majorEastAsia" w:cstheme="majorBidi"/>
      <w:color w:val="272727" w:themeColor="text1" w:themeTint="D8"/>
    </w:rPr>
  </w:style>
  <w:style w:type="paragraph" w:styleId="655">
    <w:name w:val="Title"/>
    <w:basedOn w:val="633"/>
    <w:next w:val="633"/>
    <w:link w:val="656"/>
    <w:uiPriority w:val="10"/>
    <w:qFormat/>
    <w:pPr>
      <w:contextualSpacing/>
      <w:spacing w:after="80" w:line="240" w:lineRule="auto"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656" w:customStyle="1">
    <w:name w:val="Заголовок Знак"/>
    <w:basedOn w:val="643"/>
    <w:link w:val="655"/>
    <w:uiPriority w:val="10"/>
    <w:rPr>
      <w:rFonts w:asciiTheme="majorHAnsi" w:hAnsiTheme="majorHAnsi" w:eastAsiaTheme="majorEastAsia" w:cstheme="majorBidi"/>
      <w:spacing w:val="-10"/>
      <w:sz w:val="56"/>
      <w:szCs w:val="56"/>
    </w:rPr>
  </w:style>
  <w:style w:type="paragraph" w:styleId="657">
    <w:name w:val="Subtitle"/>
    <w:basedOn w:val="633"/>
    <w:next w:val="633"/>
    <w:link w:val="658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658" w:customStyle="1">
    <w:name w:val="Подзаголовок Знак"/>
    <w:basedOn w:val="643"/>
    <w:link w:val="657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659">
    <w:name w:val="Quote"/>
    <w:basedOn w:val="633"/>
    <w:next w:val="633"/>
    <w:link w:val="660"/>
    <w:uiPriority w:val="29"/>
    <w:qFormat/>
    <w:pPr>
      <w:jc w:val="center"/>
      <w:spacing w:before="160"/>
    </w:pPr>
    <w:rPr>
      <w:i/>
      <w:iCs/>
      <w:color w:val="404040" w:themeColor="text1" w:themeTint="BF"/>
    </w:rPr>
  </w:style>
  <w:style w:type="character" w:styleId="660" w:customStyle="1">
    <w:name w:val="Цитата 2 Знак"/>
    <w:basedOn w:val="643"/>
    <w:link w:val="659"/>
    <w:uiPriority w:val="29"/>
    <w:rPr>
      <w:i/>
      <w:iCs/>
      <w:color w:val="404040" w:themeColor="text1" w:themeTint="BF"/>
    </w:rPr>
  </w:style>
  <w:style w:type="paragraph" w:styleId="661">
    <w:name w:val="List Paragraph"/>
    <w:basedOn w:val="633"/>
    <w:uiPriority w:val="34"/>
    <w:qFormat/>
    <w:pPr>
      <w:contextualSpacing/>
      <w:ind w:left="720"/>
    </w:pPr>
  </w:style>
  <w:style w:type="character" w:styleId="662">
    <w:name w:val="Intense Emphasis"/>
    <w:basedOn w:val="643"/>
    <w:uiPriority w:val="21"/>
    <w:qFormat/>
    <w:rPr>
      <w:i/>
      <w:iCs/>
      <w:color w:val="0f4761" w:themeColor="accent1" w:themeShade="BF"/>
    </w:rPr>
  </w:style>
  <w:style w:type="paragraph" w:styleId="663">
    <w:name w:val="Intense Quote"/>
    <w:basedOn w:val="633"/>
    <w:next w:val="633"/>
    <w:link w:val="664"/>
    <w:uiPriority w:val="30"/>
    <w:qFormat/>
    <w:pPr>
      <w:ind w:left="864" w:right="864"/>
      <w:jc w:val="center"/>
      <w:spacing w:before="360" w:after="360"/>
      <w:pBdr>
        <w:top w:val="single" w:color="0F4761" w:themeColor="accent1" w:themeShade="BF" w:sz="4" w:space="10"/>
        <w:bottom w:val="single" w:color="0F4761" w:themeColor="accent1" w:themeShade="BF" w:sz="4" w:space="10"/>
      </w:pBdr>
    </w:pPr>
    <w:rPr>
      <w:i/>
      <w:iCs/>
      <w:color w:val="0f4761" w:themeColor="accent1" w:themeShade="BF"/>
    </w:rPr>
  </w:style>
  <w:style w:type="character" w:styleId="664" w:customStyle="1">
    <w:name w:val="Выделенная цитата Знак"/>
    <w:basedOn w:val="643"/>
    <w:link w:val="663"/>
    <w:uiPriority w:val="30"/>
    <w:rPr>
      <w:i/>
      <w:iCs/>
      <w:color w:val="0f4761" w:themeColor="accent1" w:themeShade="BF"/>
    </w:rPr>
  </w:style>
  <w:style w:type="character" w:styleId="665">
    <w:name w:val="Intense Reference"/>
    <w:basedOn w:val="643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666">
    <w:name w:val="Balloon Text"/>
    <w:basedOn w:val="633"/>
    <w:link w:val="667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667" w:customStyle="1">
    <w:name w:val="Текст выноски Знак"/>
    <w:basedOn w:val="643"/>
    <w:link w:val="666"/>
    <w:uiPriority w:val="99"/>
    <w:semiHidden/>
    <w:rPr>
      <w:rFonts w:ascii="Segoe UI" w:hAnsi="Segoe UI" w:cs="Segoe UI"/>
      <w:sz w:val="18"/>
      <w:szCs w:val="18"/>
    </w:rPr>
  </w:style>
  <w:style w:type="character" w:styleId="668">
    <w:name w:val="annotation reference"/>
    <w:basedOn w:val="643"/>
    <w:uiPriority w:val="99"/>
    <w:semiHidden/>
    <w:unhideWhenUsed/>
    <w:rPr>
      <w:sz w:val="16"/>
      <w:szCs w:val="16"/>
    </w:rPr>
  </w:style>
  <w:style w:type="paragraph" w:styleId="669">
    <w:name w:val="annotation text"/>
    <w:basedOn w:val="633"/>
    <w:link w:val="670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670" w:customStyle="1">
    <w:name w:val="Текст примечания Знак"/>
    <w:basedOn w:val="643"/>
    <w:link w:val="669"/>
    <w:uiPriority w:val="99"/>
    <w:semiHidden/>
    <w:rPr>
      <w:sz w:val="20"/>
      <w:szCs w:val="20"/>
    </w:rPr>
  </w:style>
  <w:style w:type="paragraph" w:styleId="671">
    <w:name w:val="annotation subject"/>
    <w:basedOn w:val="669"/>
    <w:next w:val="669"/>
    <w:link w:val="672"/>
    <w:uiPriority w:val="99"/>
    <w:semiHidden/>
    <w:unhideWhenUsed/>
    <w:rPr>
      <w:b/>
      <w:bCs/>
    </w:rPr>
  </w:style>
  <w:style w:type="character" w:styleId="672" w:customStyle="1">
    <w:name w:val="Тема примечания Знак"/>
    <w:basedOn w:val="670"/>
    <w:link w:val="671"/>
    <w:uiPriority w:val="99"/>
    <w:semiHidden/>
    <w:rPr>
      <w:b/>
      <w:bCs/>
      <w:sz w:val="20"/>
      <w:szCs w:val="20"/>
    </w:rPr>
  </w:style>
  <w:style w:type="paragraph" w:styleId="673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Arial"/>
        <a:cs typeface="Arial"/>
      </a:majorFont>
      <a:minorFont>
        <a:latin typeface="Aptos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E5359-FB1D-428F-A908-E37461C9D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Васильевна Кощиенко</dc:creator>
  <cp:keywords/>
  <dc:description/>
  <cp:lastModifiedBy>Стажировок Конструктор</cp:lastModifiedBy>
  <cp:revision>4</cp:revision>
  <dcterms:created xsi:type="dcterms:W3CDTF">2025-10-08T10:48:00Z</dcterms:created>
  <dcterms:modified xsi:type="dcterms:W3CDTF">2025-11-07T10:32:57Z</dcterms:modified>
</cp:coreProperties>
</file>